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572" w:rsidRPr="000174E6" w:rsidRDefault="00B254BC" w:rsidP="00235572">
      <w:pPr>
        <w:jc w:val="right"/>
        <w:rPr>
          <w:lang w:val="kk-KZ"/>
        </w:rPr>
      </w:pPr>
      <w:r w:rsidRPr="00A21A5E">
        <w:rPr>
          <w:b/>
          <w:bCs/>
        </w:rPr>
        <w:tab/>
      </w:r>
      <w:r w:rsidR="00235572" w:rsidRPr="000174E6">
        <w:t>Приложение</w:t>
      </w:r>
      <w:proofErr w:type="gramStart"/>
      <w:r w:rsidR="00235572" w:rsidRPr="000174E6">
        <w:rPr>
          <w:lang w:val="kk-KZ"/>
        </w:rPr>
        <w:t>2</w:t>
      </w:r>
      <w:proofErr w:type="gramEnd"/>
    </w:p>
    <w:p w:rsidR="00235572" w:rsidRPr="000174E6" w:rsidRDefault="00235572" w:rsidP="00235572">
      <w:pPr>
        <w:jc w:val="right"/>
        <w:rPr>
          <w:b/>
        </w:rPr>
      </w:pPr>
      <w:r w:rsidRPr="000174E6">
        <w:t xml:space="preserve"> к тендерной документации</w:t>
      </w:r>
      <w:r w:rsidRPr="000174E6">
        <w:rPr>
          <w:b/>
        </w:rPr>
        <w:t xml:space="preserve"> </w:t>
      </w:r>
    </w:p>
    <w:p w:rsidR="00235572" w:rsidRPr="000174E6" w:rsidRDefault="00235572" w:rsidP="00235572">
      <w:pPr>
        <w:pStyle w:val="a7"/>
        <w:ind w:left="426" w:hanging="426"/>
        <w:rPr>
          <w:rFonts w:ascii="Times New Roman" w:hAnsi="Times New Roman"/>
          <w:caps w:val="0"/>
          <w:szCs w:val="24"/>
        </w:rPr>
      </w:pPr>
    </w:p>
    <w:p w:rsidR="00BE3252" w:rsidRPr="00235572" w:rsidRDefault="00235572" w:rsidP="00235572">
      <w:pPr>
        <w:pStyle w:val="a7"/>
        <w:ind w:left="426" w:hanging="426"/>
        <w:rPr>
          <w:rFonts w:ascii="Times New Roman" w:hAnsi="Times New Roman"/>
          <w:caps w:val="0"/>
          <w:szCs w:val="24"/>
        </w:rPr>
      </w:pPr>
      <w:r w:rsidRPr="000174E6">
        <w:rPr>
          <w:rFonts w:ascii="Times New Roman" w:hAnsi="Times New Roman"/>
          <w:caps w:val="0"/>
          <w:szCs w:val="24"/>
        </w:rPr>
        <w:t>Техническая спецификация закупаемых товаров</w:t>
      </w:r>
      <w:r w:rsidR="00B254BC" w:rsidRPr="00A21A5E">
        <w:rPr>
          <w:bCs/>
        </w:rPr>
        <w:tab/>
      </w:r>
      <w:r w:rsidR="00B254BC" w:rsidRPr="00A21A5E">
        <w:rPr>
          <w:bCs/>
        </w:rPr>
        <w:tab/>
      </w:r>
      <w:r w:rsidR="00B254BC" w:rsidRPr="00A21A5E">
        <w:rPr>
          <w:bCs/>
        </w:rPr>
        <w:tab/>
      </w:r>
      <w:r w:rsidR="00B254BC" w:rsidRPr="00A21A5E">
        <w:rPr>
          <w:bCs/>
        </w:rPr>
        <w:tab/>
      </w:r>
      <w:r w:rsidR="00B254BC" w:rsidRPr="00A21A5E">
        <w:rPr>
          <w:bCs/>
        </w:rPr>
        <w:tab/>
      </w:r>
      <w:r w:rsidR="00B254BC" w:rsidRPr="00A21A5E">
        <w:rPr>
          <w:bCs/>
        </w:rPr>
        <w:tab/>
      </w:r>
      <w:r w:rsidR="00B254BC" w:rsidRPr="00A21A5E">
        <w:rPr>
          <w:bCs/>
        </w:rPr>
        <w:tab/>
      </w:r>
    </w:p>
    <w:p w:rsidR="00BE3252" w:rsidRPr="00A21A5E" w:rsidRDefault="00BE3252" w:rsidP="00BE3252">
      <w:pPr>
        <w:pStyle w:val="a3"/>
        <w:jc w:val="right"/>
        <w:rPr>
          <w:b/>
          <w:bCs/>
        </w:rPr>
      </w:pPr>
    </w:p>
    <w:tbl>
      <w:tblPr>
        <w:tblW w:w="15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4535"/>
        <w:gridCol w:w="567"/>
        <w:gridCol w:w="2412"/>
        <w:gridCol w:w="5386"/>
        <w:gridCol w:w="1557"/>
      </w:tblGrid>
      <w:tr w:rsidR="00667A08" w:rsidRPr="004C2339" w:rsidTr="00395ED2">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4C2339" w:rsidRDefault="00667A08" w:rsidP="00395ED2">
            <w:pPr>
              <w:jc w:val="center"/>
              <w:rPr>
                <w:b/>
              </w:rPr>
            </w:pPr>
            <w:r w:rsidRPr="004C2339">
              <w:rPr>
                <w:b/>
              </w:rPr>
              <w:t xml:space="preserve">№ </w:t>
            </w:r>
            <w:proofErr w:type="gramStart"/>
            <w:r w:rsidRPr="004C2339">
              <w:rPr>
                <w:b/>
              </w:rPr>
              <w:t>п</w:t>
            </w:r>
            <w:proofErr w:type="gramEnd"/>
            <w:r w:rsidRPr="004C2339">
              <w:rPr>
                <w:b/>
              </w:rPr>
              <w:t>/п</w:t>
            </w:r>
          </w:p>
        </w:tc>
        <w:tc>
          <w:tcPr>
            <w:tcW w:w="4535"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4C2339" w:rsidRDefault="00667A08" w:rsidP="00395ED2">
            <w:pPr>
              <w:tabs>
                <w:tab w:val="left" w:pos="450"/>
              </w:tabs>
              <w:jc w:val="center"/>
              <w:rPr>
                <w:b/>
              </w:rPr>
            </w:pPr>
            <w:r w:rsidRPr="004C2339">
              <w:rPr>
                <w:b/>
              </w:rPr>
              <w:t>Критерии</w:t>
            </w:r>
          </w:p>
        </w:tc>
        <w:tc>
          <w:tcPr>
            <w:tcW w:w="9922"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67A08" w:rsidRPr="004C2339" w:rsidRDefault="00667A08" w:rsidP="00395ED2">
            <w:pPr>
              <w:tabs>
                <w:tab w:val="left" w:pos="450"/>
              </w:tabs>
              <w:jc w:val="center"/>
              <w:rPr>
                <w:b/>
              </w:rPr>
            </w:pPr>
            <w:r w:rsidRPr="004C2339">
              <w:rPr>
                <w:b/>
              </w:rPr>
              <w:t>Описание</w:t>
            </w:r>
          </w:p>
        </w:tc>
      </w:tr>
      <w:tr w:rsidR="00667A08" w:rsidRPr="004C2339" w:rsidTr="00395ED2">
        <w:trPr>
          <w:trHeight w:val="470"/>
        </w:trPr>
        <w:tc>
          <w:tcPr>
            <w:tcW w:w="708" w:type="dxa"/>
            <w:tcBorders>
              <w:top w:val="single" w:sz="4" w:space="0" w:color="auto"/>
              <w:left w:val="single" w:sz="4" w:space="0" w:color="auto"/>
              <w:bottom w:val="single" w:sz="4" w:space="0" w:color="auto"/>
              <w:right w:val="single" w:sz="4" w:space="0" w:color="auto"/>
            </w:tcBorders>
            <w:hideMark/>
          </w:tcPr>
          <w:p w:rsidR="00667A08" w:rsidRPr="004C2339" w:rsidRDefault="00667A08" w:rsidP="00395ED2">
            <w:pPr>
              <w:tabs>
                <w:tab w:val="left" w:pos="450"/>
              </w:tabs>
              <w:rPr>
                <w:b/>
              </w:rPr>
            </w:pPr>
            <w:r w:rsidRPr="004C2339">
              <w:rPr>
                <w:b/>
              </w:rPr>
              <w:t>1</w:t>
            </w:r>
          </w:p>
        </w:tc>
        <w:tc>
          <w:tcPr>
            <w:tcW w:w="4535" w:type="dxa"/>
            <w:tcBorders>
              <w:top w:val="single" w:sz="4" w:space="0" w:color="auto"/>
              <w:left w:val="single" w:sz="4" w:space="0" w:color="auto"/>
              <w:bottom w:val="single" w:sz="4" w:space="0" w:color="auto"/>
              <w:right w:val="single" w:sz="4" w:space="0" w:color="auto"/>
            </w:tcBorders>
            <w:hideMark/>
          </w:tcPr>
          <w:p w:rsidR="00395ED2" w:rsidRPr="00395ED2" w:rsidRDefault="00395ED2" w:rsidP="00395ED2">
            <w:pPr>
              <w:tabs>
                <w:tab w:val="left" w:pos="450"/>
              </w:tabs>
              <w:rPr>
                <w:b/>
              </w:rPr>
            </w:pPr>
            <w:r w:rsidRPr="00395ED2">
              <w:rPr>
                <w:b/>
              </w:rPr>
              <w:t>Наименование медицинских изделий ТСО (далее - МИ)</w:t>
            </w:r>
          </w:p>
          <w:p w:rsidR="00667A08" w:rsidRPr="004C2339" w:rsidRDefault="00395ED2" w:rsidP="00395ED2">
            <w:pPr>
              <w:tabs>
                <w:tab w:val="left" w:pos="450"/>
              </w:tabs>
              <w:rPr>
                <w:b/>
              </w:rPr>
            </w:pPr>
            <w:r w:rsidRPr="00395ED2">
              <w:rPr>
                <w:b/>
              </w:rPr>
              <w:t>(в соответствии с государственным реестром МИ с указанием модели, наименования производителя, страны)</w:t>
            </w:r>
          </w:p>
        </w:tc>
        <w:tc>
          <w:tcPr>
            <w:tcW w:w="9922" w:type="dxa"/>
            <w:gridSpan w:val="4"/>
            <w:tcBorders>
              <w:top w:val="single" w:sz="4" w:space="0" w:color="auto"/>
              <w:left w:val="single" w:sz="4" w:space="0" w:color="auto"/>
              <w:bottom w:val="single" w:sz="4" w:space="0" w:color="auto"/>
              <w:right w:val="single" w:sz="4" w:space="0" w:color="auto"/>
            </w:tcBorders>
          </w:tcPr>
          <w:p w:rsidR="003B7BC0" w:rsidRPr="007A686C" w:rsidRDefault="003B7BC0" w:rsidP="00395ED2">
            <w:pPr>
              <w:pStyle w:val="Default"/>
              <w:spacing w:line="276" w:lineRule="auto"/>
              <w:rPr>
                <w:rFonts w:ascii="Times New Roman" w:hAnsi="Times New Roman" w:cs="Times New Roman"/>
                <w:b/>
                <w:color w:val="auto"/>
              </w:rPr>
            </w:pPr>
            <w:r w:rsidRPr="004C2339">
              <w:rPr>
                <w:rFonts w:ascii="Times New Roman" w:hAnsi="Times New Roman" w:cs="Times New Roman"/>
                <w:b/>
                <w:color w:val="auto"/>
              </w:rPr>
              <w:t xml:space="preserve">Кровать акушерская </w:t>
            </w:r>
          </w:p>
        </w:tc>
      </w:tr>
      <w:tr w:rsidR="00787CD5" w:rsidRPr="004C2339" w:rsidTr="00395ED2">
        <w:trPr>
          <w:trHeight w:val="470"/>
        </w:trPr>
        <w:tc>
          <w:tcPr>
            <w:tcW w:w="708" w:type="dxa"/>
            <w:tcBorders>
              <w:top w:val="single" w:sz="4" w:space="0" w:color="auto"/>
              <w:left w:val="single" w:sz="4" w:space="0" w:color="auto"/>
              <w:bottom w:val="single" w:sz="4" w:space="0" w:color="auto"/>
              <w:right w:val="single" w:sz="4" w:space="0" w:color="auto"/>
            </w:tcBorders>
          </w:tcPr>
          <w:p w:rsidR="00787CD5" w:rsidRPr="004C2339" w:rsidRDefault="00787CD5" w:rsidP="00395ED2">
            <w:pPr>
              <w:tabs>
                <w:tab w:val="left" w:pos="450"/>
              </w:tabs>
              <w:rPr>
                <w:b/>
              </w:rPr>
            </w:pPr>
            <w:r>
              <w:rPr>
                <w:b/>
              </w:rPr>
              <w:t>2</w:t>
            </w:r>
          </w:p>
        </w:tc>
        <w:tc>
          <w:tcPr>
            <w:tcW w:w="4535" w:type="dxa"/>
            <w:tcBorders>
              <w:top w:val="single" w:sz="4" w:space="0" w:color="auto"/>
              <w:left w:val="single" w:sz="4" w:space="0" w:color="auto"/>
              <w:bottom w:val="single" w:sz="4" w:space="0" w:color="auto"/>
              <w:right w:val="single" w:sz="4" w:space="0" w:color="auto"/>
            </w:tcBorders>
          </w:tcPr>
          <w:p w:rsidR="00787CD5" w:rsidRPr="00395ED2" w:rsidRDefault="00787CD5" w:rsidP="00395ED2">
            <w:pPr>
              <w:tabs>
                <w:tab w:val="left" w:pos="450"/>
              </w:tabs>
              <w:rPr>
                <w:b/>
              </w:rPr>
            </w:pPr>
            <w:proofErr w:type="gramStart"/>
            <w:r w:rsidRPr="003450C1">
              <w:rPr>
                <w:b/>
              </w:rPr>
              <w:t>Наименование медицинских изделий ТСО (далее - МИ)</w:t>
            </w:r>
            <w:r>
              <w:rPr>
                <w:b/>
              </w:rPr>
              <w:t>, относящихся к средствам измерения</w:t>
            </w:r>
            <w:r w:rsidRPr="003D152C">
              <w:rPr>
                <w:b/>
              </w:rPr>
              <w:t xml:space="preserve"> с указанием модели, наименования производителя, страны)</w:t>
            </w:r>
            <w:proofErr w:type="gramEnd"/>
          </w:p>
        </w:tc>
        <w:tc>
          <w:tcPr>
            <w:tcW w:w="9922" w:type="dxa"/>
            <w:gridSpan w:val="4"/>
            <w:tcBorders>
              <w:top w:val="single" w:sz="4" w:space="0" w:color="auto"/>
              <w:left w:val="single" w:sz="4" w:space="0" w:color="auto"/>
              <w:bottom w:val="single" w:sz="4" w:space="0" w:color="auto"/>
              <w:right w:val="single" w:sz="4" w:space="0" w:color="auto"/>
            </w:tcBorders>
          </w:tcPr>
          <w:p w:rsidR="00787CD5" w:rsidRPr="004C2339" w:rsidRDefault="00787CD5" w:rsidP="00395ED2">
            <w:pPr>
              <w:pStyle w:val="Default"/>
              <w:spacing w:line="276" w:lineRule="auto"/>
              <w:rPr>
                <w:rFonts w:ascii="Times New Roman" w:hAnsi="Times New Roman" w:cs="Times New Roman"/>
                <w:b/>
                <w:color w:val="auto"/>
              </w:rPr>
            </w:pPr>
          </w:p>
        </w:tc>
      </w:tr>
      <w:tr w:rsidR="00395ED2" w:rsidRPr="004C2339" w:rsidTr="00395ED2">
        <w:trPr>
          <w:trHeight w:val="611"/>
        </w:trPr>
        <w:tc>
          <w:tcPr>
            <w:tcW w:w="708" w:type="dxa"/>
            <w:vMerge w:val="restart"/>
            <w:tcBorders>
              <w:top w:val="single" w:sz="4" w:space="0" w:color="auto"/>
              <w:left w:val="single" w:sz="4" w:space="0" w:color="auto"/>
              <w:bottom w:val="single" w:sz="4" w:space="0" w:color="auto"/>
              <w:right w:val="single" w:sz="4" w:space="0" w:color="auto"/>
            </w:tcBorders>
            <w:hideMark/>
          </w:tcPr>
          <w:p w:rsidR="00395ED2" w:rsidRPr="00787CD5" w:rsidRDefault="00787CD5" w:rsidP="00395ED2">
            <w:pPr>
              <w:rPr>
                <w:b/>
              </w:rPr>
            </w:pPr>
            <w:r>
              <w:rPr>
                <w:b/>
              </w:rPr>
              <w:t>3</w:t>
            </w:r>
          </w:p>
        </w:tc>
        <w:tc>
          <w:tcPr>
            <w:tcW w:w="4535" w:type="dxa"/>
            <w:vMerge w:val="restart"/>
            <w:tcBorders>
              <w:top w:val="single" w:sz="4" w:space="0" w:color="auto"/>
              <w:left w:val="single" w:sz="4" w:space="0" w:color="auto"/>
              <w:bottom w:val="single" w:sz="4" w:space="0" w:color="auto"/>
              <w:right w:val="single" w:sz="4" w:space="0" w:color="auto"/>
            </w:tcBorders>
            <w:hideMark/>
          </w:tcPr>
          <w:p w:rsidR="00395ED2" w:rsidRPr="004C2339" w:rsidRDefault="00395ED2" w:rsidP="00395ED2">
            <w:pPr>
              <w:rPr>
                <w:b/>
              </w:rPr>
            </w:pPr>
            <w:r w:rsidRPr="004C2339">
              <w:rPr>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hideMark/>
          </w:tcPr>
          <w:p w:rsidR="00395ED2" w:rsidRPr="00395ED2" w:rsidRDefault="00395ED2" w:rsidP="00395ED2">
            <w:pPr>
              <w:jc w:val="center"/>
              <w:rPr>
                <w:i/>
              </w:rPr>
            </w:pPr>
            <w:r w:rsidRPr="00395ED2">
              <w:rPr>
                <w:rStyle w:val="s0"/>
                <w:i/>
              </w:rPr>
              <w:t>№</w:t>
            </w:r>
          </w:p>
          <w:p w:rsidR="00395ED2" w:rsidRPr="00395ED2" w:rsidRDefault="00395ED2" w:rsidP="00395ED2">
            <w:pPr>
              <w:jc w:val="center"/>
              <w:rPr>
                <w:i/>
              </w:rPr>
            </w:pPr>
            <w:proofErr w:type="gramStart"/>
            <w:r w:rsidRPr="00395ED2">
              <w:rPr>
                <w:rStyle w:val="s0"/>
                <w:i/>
              </w:rPr>
              <w:t>п</w:t>
            </w:r>
            <w:proofErr w:type="gramEnd"/>
            <w:r w:rsidRPr="00395ED2">
              <w:rPr>
                <w:rStyle w:val="s0"/>
                <w:i/>
              </w:rPr>
              <w:t>/п</w:t>
            </w:r>
          </w:p>
        </w:tc>
        <w:tc>
          <w:tcPr>
            <w:tcW w:w="2412" w:type="dxa"/>
            <w:tcBorders>
              <w:top w:val="single" w:sz="4" w:space="0" w:color="auto"/>
              <w:left w:val="single" w:sz="4" w:space="0" w:color="auto"/>
              <w:bottom w:val="single" w:sz="4" w:space="0" w:color="auto"/>
              <w:right w:val="single" w:sz="4" w:space="0" w:color="auto"/>
            </w:tcBorders>
            <w:hideMark/>
          </w:tcPr>
          <w:p w:rsidR="00395ED2" w:rsidRPr="00395ED2" w:rsidRDefault="00395ED2" w:rsidP="00395ED2">
            <w:pPr>
              <w:jc w:val="center"/>
              <w:rPr>
                <w:i/>
              </w:rPr>
            </w:pPr>
            <w:proofErr w:type="gramStart"/>
            <w:r w:rsidRPr="00395ED2">
              <w:rPr>
                <w:rStyle w:val="s0"/>
                <w:i/>
              </w:rPr>
              <w:t>Наименование комплектующего к МИ</w:t>
            </w:r>
            <w:proofErr w:type="gramEnd"/>
          </w:p>
          <w:p w:rsidR="00395ED2" w:rsidRPr="00395ED2" w:rsidRDefault="00395ED2" w:rsidP="00395ED2">
            <w:pPr>
              <w:jc w:val="center"/>
              <w:rPr>
                <w:i/>
              </w:rPr>
            </w:pPr>
            <w:r w:rsidRPr="00395ED2">
              <w:rPr>
                <w:rStyle w:val="s0"/>
                <w:i/>
              </w:rPr>
              <w:t>(в соответствии с государственным реестром МИ)</w:t>
            </w:r>
          </w:p>
        </w:tc>
        <w:tc>
          <w:tcPr>
            <w:tcW w:w="5386" w:type="dxa"/>
            <w:tcBorders>
              <w:top w:val="single" w:sz="4" w:space="0" w:color="auto"/>
              <w:left w:val="single" w:sz="4" w:space="0" w:color="auto"/>
              <w:bottom w:val="single" w:sz="4" w:space="0" w:color="auto"/>
              <w:right w:val="single" w:sz="4" w:space="0" w:color="auto"/>
            </w:tcBorders>
            <w:hideMark/>
          </w:tcPr>
          <w:p w:rsidR="00395ED2" w:rsidRPr="00395ED2" w:rsidRDefault="00395ED2" w:rsidP="00395ED2">
            <w:pPr>
              <w:jc w:val="center"/>
              <w:rPr>
                <w:i/>
              </w:rPr>
            </w:pPr>
            <w:proofErr w:type="gramStart"/>
            <w:r w:rsidRPr="00395ED2">
              <w:rPr>
                <w:rStyle w:val="s0"/>
                <w:i/>
              </w:rPr>
              <w:t>Модель/марка, каталожный номер, краткая техническая характеристика комплектующего к МИ</w:t>
            </w:r>
            <w:proofErr w:type="gramEnd"/>
          </w:p>
        </w:tc>
        <w:tc>
          <w:tcPr>
            <w:tcW w:w="1557" w:type="dxa"/>
            <w:tcBorders>
              <w:top w:val="single" w:sz="4" w:space="0" w:color="auto"/>
              <w:left w:val="single" w:sz="4" w:space="0" w:color="auto"/>
              <w:bottom w:val="single" w:sz="4" w:space="0" w:color="auto"/>
              <w:right w:val="single" w:sz="4" w:space="0" w:color="auto"/>
            </w:tcBorders>
            <w:hideMark/>
          </w:tcPr>
          <w:p w:rsidR="00395ED2" w:rsidRPr="00395ED2" w:rsidRDefault="00395ED2" w:rsidP="00395ED2">
            <w:pPr>
              <w:jc w:val="center"/>
              <w:rPr>
                <w:i/>
              </w:rPr>
            </w:pPr>
            <w:r w:rsidRPr="00395ED2">
              <w:rPr>
                <w:rStyle w:val="s0"/>
                <w:i/>
              </w:rPr>
              <w:t>Требуемое количество (с указанием единицы измерения)</w:t>
            </w:r>
          </w:p>
        </w:tc>
      </w:tr>
      <w:tr w:rsidR="00667A08"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4C2339" w:rsidRDefault="00667A08" w:rsidP="00395ED2">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4C2339" w:rsidRDefault="00667A08" w:rsidP="00395ED2">
            <w:pPr>
              <w:rPr>
                <w:b/>
              </w:rPr>
            </w:pPr>
          </w:p>
        </w:tc>
        <w:tc>
          <w:tcPr>
            <w:tcW w:w="9922" w:type="dxa"/>
            <w:gridSpan w:val="4"/>
            <w:tcBorders>
              <w:top w:val="single" w:sz="4" w:space="0" w:color="auto"/>
              <w:left w:val="single" w:sz="4" w:space="0" w:color="auto"/>
              <w:bottom w:val="single" w:sz="4" w:space="0" w:color="auto"/>
              <w:right w:val="single" w:sz="4" w:space="0" w:color="auto"/>
            </w:tcBorders>
            <w:hideMark/>
          </w:tcPr>
          <w:p w:rsidR="00667A08" w:rsidRPr="004C2339" w:rsidRDefault="00B218EB" w:rsidP="00395ED2">
            <w:pPr>
              <w:rPr>
                <w:i/>
              </w:rPr>
            </w:pPr>
            <w:r w:rsidRPr="004C2339">
              <w:rPr>
                <w:i/>
              </w:rPr>
              <w:t>Комплект поставки</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1.</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Кровать акушерская (без съёмных частей)</w:t>
            </w:r>
          </w:p>
        </w:tc>
        <w:tc>
          <w:tcPr>
            <w:tcW w:w="5386"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 xml:space="preserve">Кровать акушерская </w:t>
            </w:r>
            <w:r w:rsidR="007A686C">
              <w:t xml:space="preserve">должна предназначаться </w:t>
            </w:r>
            <w:r w:rsidRPr="004C2339">
              <w:t>для размещения рожениц в течение всего периода нахождения в стационаре до родов, во время родового акта и после родов, а также для выполнения акушерских неполосных операций и манипуляций.</w:t>
            </w:r>
          </w:p>
          <w:p w:rsidR="006F2A2A" w:rsidRPr="004C2339" w:rsidRDefault="007A686C" w:rsidP="00395ED2">
            <w:r>
              <w:t>Должно быть наличие</w:t>
            </w:r>
            <w:r w:rsidR="006F2A2A" w:rsidRPr="004C2339">
              <w:t xml:space="preserve"> сварной конструкции кровати - </w:t>
            </w:r>
            <w:proofErr w:type="gramStart"/>
            <w:r w:rsidR="006F2A2A" w:rsidRPr="004C2339">
              <w:t>жесткая</w:t>
            </w:r>
            <w:proofErr w:type="gramEnd"/>
            <w:r w:rsidR="006F2A2A" w:rsidRPr="004C2339">
              <w:t xml:space="preserve"> конструкция</w:t>
            </w:r>
            <w:r>
              <w:t>выдерживающая</w:t>
            </w:r>
            <w:r w:rsidR="006F2A2A" w:rsidRPr="004C2339">
              <w:t xml:space="preserve"> большую нагрузку, </w:t>
            </w:r>
            <w:r>
              <w:t>не должно быть</w:t>
            </w:r>
            <w:r w:rsidR="006F2A2A" w:rsidRPr="004C2339">
              <w:t xml:space="preserve"> необходимости в дополнительном обслуживании.</w:t>
            </w:r>
          </w:p>
          <w:p w:rsidR="006F2A2A" w:rsidRPr="004C2339" w:rsidRDefault="007A686C" w:rsidP="00395ED2">
            <w:r>
              <w:t xml:space="preserve">Каркас </w:t>
            </w:r>
            <w:r w:rsidR="006F2A2A" w:rsidRPr="004C2339">
              <w:t>основания и ложа</w:t>
            </w:r>
            <w:r>
              <w:t xml:space="preserve"> должен быть</w:t>
            </w:r>
            <w:r w:rsidR="006F2A2A" w:rsidRPr="004C2339">
              <w:t xml:space="preserve"> выполнен </w:t>
            </w:r>
            <w:r w:rsidR="006F2A2A" w:rsidRPr="004C2339">
              <w:lastRenderedPageBreak/>
              <w:t>из стальных труб с полимерно-порошковым покрытием - антикоррозийная стойкость металлических элементов конструкции.</w:t>
            </w:r>
          </w:p>
          <w:p w:rsidR="006F2A2A" w:rsidRPr="004C2339" w:rsidRDefault="006F2A2A" w:rsidP="00395ED2">
            <w:r w:rsidRPr="004C2339">
              <w:t>Спинная, тазобедренная и ножная выдвижная секции</w:t>
            </w:r>
            <w:r w:rsidR="00486380">
              <w:t xml:space="preserve"> должны быть </w:t>
            </w:r>
            <w:r w:rsidRPr="004C2339">
              <w:t xml:space="preserve">закреплены на металлическом каркасе. Качественная санитарная обработка изделия </w:t>
            </w:r>
            <w:r w:rsidR="007A686C">
              <w:t>должна производит</w:t>
            </w:r>
            <w:r w:rsidR="00697231">
              <w:t>ь</w:t>
            </w:r>
            <w:r w:rsidR="007A686C">
              <w:t xml:space="preserve">ся </w:t>
            </w:r>
            <w:r w:rsidRPr="004C2339">
              <w:t>сильными дезинфицирующими растворами.</w:t>
            </w:r>
          </w:p>
          <w:p w:rsidR="0018403E" w:rsidRDefault="006F2A2A" w:rsidP="00395ED2">
            <w:r w:rsidRPr="004C2339">
              <w:t xml:space="preserve">Толщина материала секции </w:t>
            </w:r>
            <w:r w:rsidR="0018403E">
              <w:t>не менее8 мм</w:t>
            </w:r>
            <w:r w:rsidRPr="004C2339">
              <w:t>.</w:t>
            </w:r>
          </w:p>
          <w:p w:rsidR="006F2A2A" w:rsidRPr="004C2339" w:rsidRDefault="006F2A2A" w:rsidP="00395ED2">
            <w:r w:rsidRPr="004C2339">
              <w:t>Прочность и устойчивость ложа к высоким нагрузкам.</w:t>
            </w:r>
          </w:p>
          <w:p w:rsidR="004C2339" w:rsidRDefault="006F2A2A" w:rsidP="00395ED2">
            <w:r w:rsidRPr="004C2339">
              <w:t>Регулировка углов наклона спинной секции, ложа в сторону головы («</w:t>
            </w:r>
            <w:proofErr w:type="spellStart"/>
            <w:r w:rsidRPr="004C2339">
              <w:t>Тренделенбург</w:t>
            </w:r>
            <w:proofErr w:type="spellEnd"/>
            <w:r w:rsidRPr="004C2339">
              <w:t>») и в сторону ног («</w:t>
            </w:r>
            <w:proofErr w:type="spellStart"/>
            <w:r w:rsidRPr="004C2339">
              <w:t>Антитренделенбург</w:t>
            </w:r>
            <w:proofErr w:type="spellEnd"/>
            <w:r w:rsidRPr="004C2339">
              <w:t xml:space="preserve">») </w:t>
            </w:r>
            <w:r w:rsidR="0018403E">
              <w:t>должна осуществляться</w:t>
            </w:r>
            <w:r w:rsidRPr="004C2339">
              <w:t xml:space="preserve"> с помощью четырех газовых пружин. </w:t>
            </w:r>
          </w:p>
          <w:p w:rsidR="006F2A2A" w:rsidRPr="004C2339" w:rsidRDefault="006F2A2A" w:rsidP="00395ED2">
            <w:r w:rsidRPr="004C2339">
              <w:t>Плавная и бесступенчатая регулировка спинной секции и ложа.</w:t>
            </w:r>
          </w:p>
          <w:p w:rsidR="006F2A2A" w:rsidRPr="004C2339" w:rsidRDefault="006F2A2A" w:rsidP="00395ED2">
            <w:r w:rsidRPr="004C2339">
              <w:t>Установка в положение «</w:t>
            </w:r>
            <w:proofErr w:type="spellStart"/>
            <w:r w:rsidRPr="004C2339">
              <w:t>Тренделенбург</w:t>
            </w:r>
            <w:proofErr w:type="spellEnd"/>
            <w:r w:rsidRPr="004C2339">
              <w:t xml:space="preserve">» </w:t>
            </w:r>
            <w:r w:rsidR="0018403E">
              <w:t>должно позволять</w:t>
            </w:r>
            <w:r w:rsidRPr="004C2339">
              <w:t xml:space="preserve"> оказать экстренную помощь роженице в шоковом состоянии.</w:t>
            </w:r>
          </w:p>
          <w:p w:rsidR="0018403E" w:rsidRDefault="006F2A2A" w:rsidP="00395ED2">
            <w:r w:rsidRPr="004C2339">
              <w:t>Установка в положение «</w:t>
            </w:r>
            <w:proofErr w:type="spellStart"/>
            <w:r w:rsidRPr="004C2339">
              <w:t>АнтиТренделенбург</w:t>
            </w:r>
            <w:proofErr w:type="spellEnd"/>
            <w:r w:rsidRPr="004C2339">
              <w:t xml:space="preserve">» </w:t>
            </w:r>
            <w:r w:rsidR="0018403E">
              <w:t>должно позволять</w:t>
            </w:r>
            <w:r w:rsidRPr="004C2339">
              <w:t xml:space="preserve"> оказать экстренную помощь роженице для снижения риска пассивной аспирации или для уменьшения внутричерепного давления. </w:t>
            </w:r>
          </w:p>
          <w:p w:rsidR="0018403E" w:rsidRDefault="006F2A2A" w:rsidP="00395ED2">
            <w:r w:rsidRPr="004C2339">
              <w:t xml:space="preserve">Выдвижение ножной секции </w:t>
            </w:r>
            <w:r w:rsidR="0018403E">
              <w:t>должно производиться</w:t>
            </w:r>
            <w:r w:rsidRPr="004C2339">
              <w:t xml:space="preserve"> ступенчато, посредством движения боковых направляющих рельс по шариковым направляющим или с помощью газовой пружины. </w:t>
            </w:r>
          </w:p>
          <w:p w:rsidR="006F2A2A" w:rsidRPr="004C2339" w:rsidRDefault="0018403E" w:rsidP="00395ED2">
            <w:r>
              <w:t>М</w:t>
            </w:r>
            <w:r w:rsidR="006F2A2A" w:rsidRPr="004C2339">
              <w:t>онтаж и демонтаж шариковых направляющих</w:t>
            </w:r>
            <w:r>
              <w:t xml:space="preserve"> должен быть простым</w:t>
            </w:r>
            <w:r w:rsidR="006F2A2A" w:rsidRPr="004C2339">
              <w:t>.</w:t>
            </w:r>
          </w:p>
          <w:p w:rsidR="004C2339" w:rsidRDefault="006F2A2A" w:rsidP="00395ED2">
            <w:r w:rsidRPr="004C2339">
              <w:t xml:space="preserve">Легкость и плавность выдвижения ножной секции. </w:t>
            </w:r>
          </w:p>
          <w:p w:rsidR="006F2A2A" w:rsidRPr="004C2339" w:rsidRDefault="006F2A2A" w:rsidP="00395ED2">
            <w:r w:rsidRPr="004C2339">
              <w:lastRenderedPageBreak/>
              <w:t>Безопасность работы врача.</w:t>
            </w:r>
          </w:p>
          <w:p w:rsidR="00697231" w:rsidRDefault="0018403E" w:rsidP="00395ED2">
            <w:r>
              <w:t>Должно исключаться</w:t>
            </w:r>
            <w:r w:rsidR="006F2A2A" w:rsidRPr="004C2339">
              <w:t xml:space="preserve"> самопроизвольное выдвижение ножной секции и возможность получения травм. </w:t>
            </w:r>
          </w:p>
          <w:p w:rsidR="004C2339" w:rsidRDefault="006F2A2A" w:rsidP="00395ED2">
            <w:r w:rsidRPr="004C2339">
              <w:t xml:space="preserve">При разложенной спинной секции, выдвинутой в крайнее положение ножной секции и горизонтальном положении ложа (положение «Кровать») кровать </w:t>
            </w:r>
            <w:r w:rsidR="00697231">
              <w:t>должна</w:t>
            </w:r>
            <w:r w:rsidRPr="004C2339">
              <w:t xml:space="preserve"> использоваться для размещения роженицы в стационаре. </w:t>
            </w:r>
          </w:p>
          <w:p w:rsidR="004C2339" w:rsidRDefault="006F2A2A" w:rsidP="00395ED2">
            <w:r w:rsidRPr="004C2339">
              <w:t xml:space="preserve">Удобство расположения роженицы на кровати во время и после родов. </w:t>
            </w:r>
          </w:p>
          <w:p w:rsidR="004C2339" w:rsidRDefault="006F2A2A" w:rsidP="00395ED2">
            <w:r w:rsidRPr="004C2339">
              <w:t xml:space="preserve">Регулировка высоты ложа кровати </w:t>
            </w:r>
            <w:r w:rsidR="00697231">
              <w:t>должно осуществляться</w:t>
            </w:r>
            <w:r w:rsidRPr="004C2339">
              <w:t xml:space="preserve"> прямолинейно (без смещения ложа кровати вперед-назад) при помощи гидропривода. </w:t>
            </w:r>
          </w:p>
          <w:p w:rsidR="004C2339" w:rsidRDefault="006F2A2A" w:rsidP="00395ED2">
            <w:r w:rsidRPr="004C2339">
              <w:t xml:space="preserve">Предотвращение повреждения медицинского оборудования, находящегося рядом. </w:t>
            </w:r>
          </w:p>
          <w:p w:rsidR="00697231" w:rsidRDefault="006F2A2A" w:rsidP="00395ED2">
            <w:r w:rsidRPr="004C2339">
              <w:t xml:space="preserve">Подъем кровати </w:t>
            </w:r>
            <w:r w:rsidR="00697231">
              <w:t>должен происходить</w:t>
            </w:r>
            <w:r w:rsidRPr="004C2339">
              <w:t xml:space="preserve"> при нажатии на одну из двух педалей управления гидроприводом, распо</w:t>
            </w:r>
            <w:r w:rsidR="00697231">
              <w:t>ложенных с двух сторон кровати, что позволит сохранить</w:t>
            </w:r>
            <w:r w:rsidRPr="004C2339">
              <w:t xml:space="preserve"> стерильност</w:t>
            </w:r>
            <w:r w:rsidR="00697231">
              <w:t>ь</w:t>
            </w:r>
            <w:r w:rsidRPr="004C2339">
              <w:t xml:space="preserve"> рук врача при необходимости изменения высоты ложа. </w:t>
            </w:r>
          </w:p>
          <w:p w:rsidR="004C2339" w:rsidRDefault="006F2A2A" w:rsidP="00395ED2">
            <w:r w:rsidRPr="004C2339">
              <w:t xml:space="preserve">Стойкость к санитарной обработке дезинфицирующими средствами. </w:t>
            </w:r>
          </w:p>
          <w:p w:rsidR="004C2339" w:rsidRDefault="00697231" w:rsidP="00395ED2">
            <w:r>
              <w:t xml:space="preserve">Толщина материала вставок не менее </w:t>
            </w:r>
            <w:r w:rsidR="006F2A2A" w:rsidRPr="004C2339">
              <w:t xml:space="preserve">8 мм. </w:t>
            </w:r>
          </w:p>
          <w:p w:rsidR="006F2A2A" w:rsidRPr="004C2339" w:rsidRDefault="006F2A2A" w:rsidP="00395ED2">
            <w:r w:rsidRPr="004C2339">
              <w:t>Четыре угловых роликовых бампера установлены в углах рамы ложа кровати</w:t>
            </w:r>
          </w:p>
          <w:p w:rsidR="00697231" w:rsidRDefault="00697231" w:rsidP="00395ED2">
            <w:r>
              <w:t>Должна быть з</w:t>
            </w:r>
            <w:r w:rsidR="006F2A2A" w:rsidRPr="004C2339">
              <w:t>ащита кровати и стен больничного корпуса от механических повреждений при столкновении.</w:t>
            </w:r>
          </w:p>
          <w:p w:rsidR="006F2A2A" w:rsidRPr="004C2339" w:rsidRDefault="006F2A2A" w:rsidP="00395ED2">
            <w:r w:rsidRPr="004C2339">
              <w:t xml:space="preserve">Кровать </w:t>
            </w:r>
            <w:r w:rsidR="00697231">
              <w:t xml:space="preserve">должна быть </w:t>
            </w:r>
            <w:r w:rsidRPr="004C2339">
              <w:t xml:space="preserve">установлена </w:t>
            </w:r>
            <w:r w:rsidR="00697231">
              <w:t xml:space="preserve">на </w:t>
            </w:r>
            <w:r w:rsidRPr="004C2339">
              <w:t xml:space="preserve">четырех самоориентирующихся колесах с роликом из полипропилена, протектор термопластичная резина, серая не </w:t>
            </w:r>
            <w:r w:rsidR="00697231">
              <w:t>должна оставлять</w:t>
            </w:r>
            <w:r w:rsidRPr="004C2339">
              <w:t xml:space="preserve"> следов</w:t>
            </w:r>
          </w:p>
          <w:p w:rsidR="004C2339" w:rsidRDefault="004C2339" w:rsidP="00395ED2">
            <w:r w:rsidRPr="004C2339">
              <w:lastRenderedPageBreak/>
              <w:t>Количество колес с общим тормозом</w:t>
            </w:r>
            <w:r w:rsidR="00697231">
              <w:t xml:space="preserve"> не менее</w:t>
            </w:r>
            <w:r>
              <w:t>4 шт.</w:t>
            </w:r>
          </w:p>
          <w:p w:rsidR="001D6488" w:rsidRDefault="001D6488" w:rsidP="00395ED2">
            <w:r w:rsidRPr="001D6488">
              <w:t xml:space="preserve">Диаметр колес около 125 мм. </w:t>
            </w:r>
          </w:p>
          <w:p w:rsidR="004C2339" w:rsidRDefault="00697231" w:rsidP="00395ED2">
            <w:r>
              <w:t>Должна быть ж</w:t>
            </w:r>
            <w:r w:rsidR="006F2A2A" w:rsidRPr="004C2339">
              <w:t xml:space="preserve">есткая фиксация кровати на полу. </w:t>
            </w:r>
          </w:p>
          <w:p w:rsidR="004C2339" w:rsidRDefault="00697231" w:rsidP="00395ED2">
            <w:r>
              <w:t xml:space="preserve">Должна исключаться </w:t>
            </w:r>
            <w:r w:rsidR="006F2A2A" w:rsidRPr="004C2339">
              <w:t xml:space="preserve">возможность самопроизвольного движения кровати </w:t>
            </w:r>
            <w:r>
              <w:t>с находящейся на ней роженицей</w:t>
            </w:r>
            <w:r w:rsidR="006F2A2A" w:rsidRPr="004C2339">
              <w:t xml:space="preserve">. </w:t>
            </w:r>
          </w:p>
          <w:p w:rsidR="006F2A2A" w:rsidRPr="004C2339" w:rsidRDefault="006F2A2A" w:rsidP="00395ED2">
            <w:r w:rsidRPr="004C2339">
              <w:t>Размеры кровати:</w:t>
            </w:r>
          </w:p>
          <w:p w:rsidR="006F2A2A" w:rsidRPr="004C2339" w:rsidRDefault="006F2A2A" w:rsidP="00395ED2">
            <w:r w:rsidRPr="004C2339">
              <w:t xml:space="preserve">Длина (при выдвинутой ножной панели, по бамперам) </w:t>
            </w:r>
            <w:r w:rsidR="00697231">
              <w:t xml:space="preserve">не более </w:t>
            </w:r>
            <w:r w:rsidRPr="004C2339">
              <w:t>2350 мм.</w:t>
            </w:r>
          </w:p>
          <w:p w:rsidR="004C2339" w:rsidRDefault="006F2A2A" w:rsidP="00395ED2">
            <w:r w:rsidRPr="004C2339">
              <w:t xml:space="preserve">Оптимальный размер кровати для размещения в родильном зале и доставки в палату с помощью грузового лифта лечебного учреждения. </w:t>
            </w:r>
          </w:p>
          <w:p w:rsidR="006F2A2A" w:rsidRPr="004C2339" w:rsidRDefault="006F2A2A" w:rsidP="00395ED2">
            <w:r w:rsidRPr="004C2339">
              <w:t>Высота (по матрацам):</w:t>
            </w:r>
          </w:p>
          <w:p w:rsidR="004C2339" w:rsidRDefault="006F2A2A" w:rsidP="00395ED2">
            <w:proofErr w:type="gramStart"/>
            <w:r w:rsidRPr="004C2339">
              <w:t>Минимальная</w:t>
            </w:r>
            <w:proofErr w:type="gramEnd"/>
            <w:r w:rsidR="004B2D46">
              <w:t xml:space="preserve"> около</w:t>
            </w:r>
            <w:r w:rsidRPr="004C2339">
              <w:t xml:space="preserve"> 650 мм. </w:t>
            </w:r>
          </w:p>
          <w:p w:rsidR="004C2339" w:rsidRDefault="006F2A2A" w:rsidP="00395ED2">
            <w:r w:rsidRPr="004C2339">
              <w:t>Максимальная</w:t>
            </w:r>
            <w:r w:rsidR="004B2D46">
              <w:t xml:space="preserve">около </w:t>
            </w:r>
            <w:r w:rsidRPr="004C2339">
              <w:t xml:space="preserve">900 мм. </w:t>
            </w:r>
          </w:p>
          <w:p w:rsidR="006F2A2A" w:rsidRPr="004C2339" w:rsidRDefault="006F2A2A" w:rsidP="00395ED2">
            <w:r w:rsidRPr="004C2339">
              <w:t>Размеры спинной секции панели ложа:</w:t>
            </w:r>
          </w:p>
          <w:p w:rsidR="004C2339" w:rsidRDefault="006F2A2A" w:rsidP="00395ED2">
            <w:r w:rsidRPr="004C2339">
              <w:t>Длина</w:t>
            </w:r>
            <w:r w:rsidR="004B2D46">
              <w:t>не менее</w:t>
            </w:r>
            <w:r w:rsidRPr="004C2339">
              <w:t xml:space="preserve"> 870 мм. </w:t>
            </w:r>
          </w:p>
          <w:p w:rsidR="004C2339" w:rsidRDefault="006F2A2A" w:rsidP="00395ED2">
            <w:r w:rsidRPr="004C2339">
              <w:t xml:space="preserve">Ширина </w:t>
            </w:r>
            <w:r w:rsidR="004B2D46">
              <w:t xml:space="preserve">не менее </w:t>
            </w:r>
            <w:r w:rsidRPr="004C2339">
              <w:t xml:space="preserve">850 мм. </w:t>
            </w:r>
          </w:p>
          <w:p w:rsidR="006F2A2A" w:rsidRPr="004C2339" w:rsidRDefault="006F2A2A" w:rsidP="00395ED2">
            <w:r w:rsidRPr="004C2339">
              <w:t>Размеры тазобедренной секции панели ложа:</w:t>
            </w:r>
          </w:p>
          <w:p w:rsidR="004C2339" w:rsidRDefault="006F2A2A" w:rsidP="00395ED2">
            <w:r w:rsidRPr="004C2339">
              <w:t xml:space="preserve">Длина </w:t>
            </w:r>
            <w:r w:rsidR="004B2D46">
              <w:t xml:space="preserve">не менее </w:t>
            </w:r>
            <w:r w:rsidRPr="004C2339">
              <w:t xml:space="preserve">490 мм. </w:t>
            </w:r>
          </w:p>
          <w:p w:rsidR="004C2339" w:rsidRDefault="006F2A2A" w:rsidP="00395ED2">
            <w:r w:rsidRPr="004C2339">
              <w:t>Ширина</w:t>
            </w:r>
            <w:r w:rsidR="004B2D46">
              <w:t xml:space="preserve">не менее </w:t>
            </w:r>
            <w:r w:rsidRPr="004C2339">
              <w:t xml:space="preserve"> 850 мм. </w:t>
            </w:r>
          </w:p>
          <w:p w:rsidR="004C2339" w:rsidRDefault="006F2A2A" w:rsidP="00395ED2">
            <w:r w:rsidRPr="004C2339">
              <w:t>Размеры панели выдвижной ножной секции: Длина</w:t>
            </w:r>
            <w:r w:rsidR="004B2D46">
              <w:t>не менее</w:t>
            </w:r>
            <w:r w:rsidR="004C2339">
              <w:t xml:space="preserve"> 890 мм</w:t>
            </w:r>
          </w:p>
          <w:p w:rsidR="004C2339" w:rsidRDefault="004C2339" w:rsidP="00395ED2">
            <w:r>
              <w:t xml:space="preserve">Ширина </w:t>
            </w:r>
            <w:r w:rsidR="004B2D46">
              <w:t>не менее</w:t>
            </w:r>
            <w:r w:rsidR="006F2A2A" w:rsidRPr="004C2339">
              <w:t xml:space="preserve">750 мм. </w:t>
            </w:r>
          </w:p>
          <w:p w:rsidR="004C2339" w:rsidRDefault="006F2A2A" w:rsidP="00395ED2">
            <w:r w:rsidRPr="004C2339">
              <w:t xml:space="preserve">Углы наклона: </w:t>
            </w:r>
          </w:p>
          <w:p w:rsidR="004C2339" w:rsidRDefault="006F2A2A" w:rsidP="00395ED2">
            <w:r w:rsidRPr="004C2339">
              <w:t>Спинной секции относительно ложа</w:t>
            </w:r>
            <w:r w:rsidR="00BB7EEE">
              <w:t xml:space="preserve"> не менее</w:t>
            </w:r>
            <w:r w:rsidRPr="004C2339">
              <w:t xml:space="preserve"> 70°</w:t>
            </w:r>
          </w:p>
          <w:p w:rsidR="004C2339" w:rsidRDefault="006F2A2A" w:rsidP="00395ED2">
            <w:r w:rsidRPr="004C2339">
              <w:t>Ложа в сторону головы («</w:t>
            </w:r>
            <w:proofErr w:type="spellStart"/>
            <w:r w:rsidRPr="004C2339">
              <w:t>Тренделенбург</w:t>
            </w:r>
            <w:proofErr w:type="spellEnd"/>
            <w:r w:rsidRPr="004C2339">
              <w:t>») относительно основания</w:t>
            </w:r>
            <w:r w:rsidR="004C2339">
              <w:t xml:space="preserve"> 12°</w:t>
            </w:r>
          </w:p>
          <w:p w:rsidR="004C2339" w:rsidRDefault="006F2A2A" w:rsidP="00395ED2">
            <w:r w:rsidRPr="004C2339">
              <w:t>Ложа в сторону ног («</w:t>
            </w:r>
            <w:proofErr w:type="spellStart"/>
            <w:r w:rsidRPr="004C2339">
              <w:t>АнтиТренделенбург</w:t>
            </w:r>
            <w:proofErr w:type="spellEnd"/>
            <w:r w:rsidRPr="004C2339">
              <w:t>») относительно основания</w:t>
            </w:r>
            <w:r w:rsidR="004C2339">
              <w:t xml:space="preserve"> 6 °</w:t>
            </w:r>
          </w:p>
          <w:p w:rsidR="004C2339" w:rsidRDefault="006F2A2A" w:rsidP="00395ED2">
            <w:r w:rsidRPr="004C2339">
              <w:t xml:space="preserve">Допускаемая нагрузка на кровать </w:t>
            </w:r>
            <w:r w:rsidR="00BB7EEE">
              <w:t xml:space="preserve">не менее </w:t>
            </w:r>
            <w:r w:rsidRPr="004C2339">
              <w:t>170 кг.</w:t>
            </w:r>
          </w:p>
          <w:p w:rsidR="006F2A2A" w:rsidRPr="004C2339" w:rsidRDefault="004C2339" w:rsidP="00DC18D1">
            <w:r>
              <w:t xml:space="preserve">Масса кровати </w:t>
            </w:r>
            <w:r w:rsidR="00DC18D1">
              <w:t>около</w:t>
            </w:r>
            <w:r w:rsidR="006F2A2A" w:rsidRPr="004C2339">
              <w:t>128 кг.</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lastRenderedPageBreak/>
              <w:t>1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F2A2A" w:rsidRPr="004C2339" w:rsidRDefault="006F2A2A" w:rsidP="00395ED2">
            <w:pPr>
              <w:rPr>
                <w:b/>
                <w:lang w:val="en-US"/>
              </w:rPr>
            </w:pPr>
          </w:p>
        </w:tc>
        <w:tc>
          <w:tcPr>
            <w:tcW w:w="4535" w:type="dxa"/>
            <w:vMerge/>
            <w:tcBorders>
              <w:top w:val="single" w:sz="4" w:space="0" w:color="auto"/>
              <w:left w:val="single" w:sz="4" w:space="0" w:color="auto"/>
              <w:bottom w:val="single" w:sz="4" w:space="0" w:color="auto"/>
              <w:right w:val="single" w:sz="4" w:space="0" w:color="auto"/>
            </w:tcBorders>
            <w:hideMark/>
          </w:tcPr>
          <w:p w:rsidR="006F2A2A" w:rsidRPr="004C2339" w:rsidRDefault="006F2A2A" w:rsidP="00395ED2">
            <w:pPr>
              <w:rPr>
                <w:b/>
                <w:lang w:val="en-US"/>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2.</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Боковое ограждение</w:t>
            </w:r>
          </w:p>
        </w:tc>
        <w:tc>
          <w:tcPr>
            <w:tcW w:w="5386" w:type="dxa"/>
            <w:tcBorders>
              <w:top w:val="single" w:sz="4" w:space="0" w:color="auto"/>
              <w:left w:val="single" w:sz="4" w:space="0" w:color="auto"/>
              <w:bottom w:val="single" w:sz="4" w:space="0" w:color="auto"/>
              <w:right w:val="single" w:sz="4" w:space="0" w:color="auto"/>
            </w:tcBorders>
          </w:tcPr>
          <w:p w:rsidR="006F2A2A" w:rsidRPr="004C2339" w:rsidRDefault="00BB7EEE" w:rsidP="00395ED2">
            <w:r>
              <w:t>Должно предотвращать от</w:t>
            </w:r>
            <w:r w:rsidR="006F2A2A" w:rsidRPr="004C2339">
              <w:t xml:space="preserve"> падения роженицы во время сна и отдыха.</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2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3.</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Матрац ложа</w:t>
            </w:r>
          </w:p>
        </w:tc>
        <w:tc>
          <w:tcPr>
            <w:tcW w:w="5386" w:type="dxa"/>
            <w:tcBorders>
              <w:top w:val="single" w:sz="4" w:space="0" w:color="auto"/>
              <w:left w:val="single" w:sz="4" w:space="0" w:color="auto"/>
              <w:bottom w:val="single" w:sz="4" w:space="0" w:color="auto"/>
              <w:right w:val="single" w:sz="4" w:space="0" w:color="auto"/>
            </w:tcBorders>
          </w:tcPr>
          <w:p w:rsidR="004C2339" w:rsidRDefault="00BB7EEE" w:rsidP="00395ED2">
            <w:r>
              <w:t>Должен быть в</w:t>
            </w:r>
            <w:r w:rsidR="006F2A2A" w:rsidRPr="004C2339">
              <w:t xml:space="preserve">ыполнен из </w:t>
            </w:r>
            <w:proofErr w:type="spellStart"/>
            <w:r w:rsidR="006F2A2A" w:rsidRPr="004C2339">
              <w:t>пенополиуретана</w:t>
            </w:r>
            <w:proofErr w:type="spellEnd"/>
            <w:r w:rsidR="004C2339">
              <w:t xml:space="preserve">, </w:t>
            </w:r>
            <w:r w:rsidR="006F2A2A" w:rsidRPr="004C2339">
              <w:t xml:space="preserve"> в чехле из </w:t>
            </w:r>
            <w:proofErr w:type="spellStart"/>
            <w:r w:rsidR="006F2A2A" w:rsidRPr="004C2339">
              <w:t>винилискожи</w:t>
            </w:r>
            <w:proofErr w:type="spellEnd"/>
            <w:r w:rsidR="006F2A2A" w:rsidRPr="004C2339">
              <w:t xml:space="preserve">. </w:t>
            </w:r>
          </w:p>
          <w:p w:rsidR="006F2A2A" w:rsidRPr="004C2339" w:rsidRDefault="006F2A2A" w:rsidP="005B4629">
            <w:r w:rsidRPr="004C2339">
              <w:t xml:space="preserve">Толщина </w:t>
            </w:r>
            <w:proofErr w:type="spellStart"/>
            <w:r w:rsidRPr="004C2339">
              <w:t>пенополиуретана</w:t>
            </w:r>
            <w:proofErr w:type="spellEnd"/>
            <w:r w:rsidRPr="004C2339">
              <w:t xml:space="preserve"> на матраце ложа</w:t>
            </w:r>
            <w:r w:rsidR="0073453B">
              <w:t xml:space="preserve"> около </w:t>
            </w:r>
            <w:r w:rsidR="005B4629">
              <w:t>не менее 50</w:t>
            </w:r>
            <w:r w:rsidRPr="004C2339">
              <w:t xml:space="preserve"> мм.</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1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4.</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Матрац выдвижной панели</w:t>
            </w:r>
          </w:p>
        </w:tc>
        <w:tc>
          <w:tcPr>
            <w:tcW w:w="5386" w:type="dxa"/>
            <w:tcBorders>
              <w:top w:val="single" w:sz="4" w:space="0" w:color="auto"/>
              <w:left w:val="single" w:sz="4" w:space="0" w:color="auto"/>
              <w:bottom w:val="single" w:sz="4" w:space="0" w:color="auto"/>
              <w:right w:val="single" w:sz="4" w:space="0" w:color="auto"/>
            </w:tcBorders>
          </w:tcPr>
          <w:p w:rsidR="004C2339" w:rsidRDefault="006F2A2A" w:rsidP="00395ED2">
            <w:proofErr w:type="gramStart"/>
            <w:r w:rsidRPr="004C2339">
              <w:t>Выполнен</w:t>
            </w:r>
            <w:proofErr w:type="gramEnd"/>
            <w:r w:rsidRPr="004C2339">
              <w:t xml:space="preserve"> из </w:t>
            </w:r>
            <w:proofErr w:type="spellStart"/>
            <w:r w:rsidRPr="004C2339">
              <w:t>пенополиуретана</w:t>
            </w:r>
            <w:proofErr w:type="spellEnd"/>
            <w:r w:rsidR="004C2339">
              <w:t>,</w:t>
            </w:r>
            <w:r w:rsidRPr="004C2339">
              <w:t xml:space="preserve"> в чехле из </w:t>
            </w:r>
            <w:proofErr w:type="spellStart"/>
            <w:r w:rsidRPr="004C2339">
              <w:t>винилискожи</w:t>
            </w:r>
            <w:proofErr w:type="spellEnd"/>
            <w:r w:rsidRPr="004C2339">
              <w:t xml:space="preserve">. </w:t>
            </w:r>
          </w:p>
          <w:p w:rsidR="006F2A2A" w:rsidRPr="004C2339" w:rsidRDefault="006F2A2A" w:rsidP="005B4629">
            <w:r w:rsidRPr="004C2339">
              <w:t xml:space="preserve">Толщина </w:t>
            </w:r>
            <w:proofErr w:type="spellStart"/>
            <w:r w:rsidRPr="004C2339">
              <w:t>пенополиуретана</w:t>
            </w:r>
            <w:proofErr w:type="spellEnd"/>
            <w:r w:rsidRPr="004C2339">
              <w:t xml:space="preserve"> на </w:t>
            </w:r>
            <w:r w:rsidR="004C2339">
              <w:t xml:space="preserve">матраце ножной выдвижной секции </w:t>
            </w:r>
            <w:r w:rsidR="005B4629">
              <w:t xml:space="preserve">не менее </w:t>
            </w:r>
            <w:r w:rsidR="004C2339">
              <w:t>100 мм</w:t>
            </w:r>
            <w:r w:rsidRPr="004C2339">
              <w:t>.</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1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5.</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Опора для стопы</w:t>
            </w:r>
          </w:p>
        </w:tc>
        <w:tc>
          <w:tcPr>
            <w:tcW w:w="5386" w:type="dxa"/>
            <w:tcBorders>
              <w:top w:val="single" w:sz="4" w:space="0" w:color="auto"/>
              <w:left w:val="single" w:sz="4" w:space="0" w:color="auto"/>
              <w:bottom w:val="single" w:sz="4" w:space="0" w:color="auto"/>
              <w:right w:val="single" w:sz="4" w:space="0" w:color="auto"/>
            </w:tcBorders>
          </w:tcPr>
          <w:p w:rsidR="00BB7EEE" w:rsidRDefault="00BB7EEE" w:rsidP="00395ED2">
            <w:r>
              <w:t>Должны быть устойчивы</w:t>
            </w:r>
            <w:r w:rsidR="006F2A2A" w:rsidRPr="004C2339">
              <w:t xml:space="preserve"> к санитарной обработке дезинфицирующими средствами. </w:t>
            </w:r>
          </w:p>
          <w:p w:rsidR="004C2339" w:rsidRDefault="00BB7EEE" w:rsidP="00395ED2">
            <w:r>
              <w:t xml:space="preserve">Должны устанавливаться </w:t>
            </w:r>
            <w:r w:rsidR="006F2A2A" w:rsidRPr="004C2339">
              <w:t xml:space="preserve"> в пластиковые втулки на металлическом каркасе тазобедренной секции или на ножной выдвижной секции.</w:t>
            </w:r>
          </w:p>
          <w:p w:rsidR="006F2A2A" w:rsidRPr="004C2339" w:rsidRDefault="00BB7EEE" w:rsidP="00395ED2">
            <w:r>
              <w:t>Должно исключаться</w:t>
            </w:r>
            <w:r w:rsidR="006F2A2A" w:rsidRPr="004C2339">
              <w:t xml:space="preserve"> самопроизвольное выдвижение ножной секции и возможность получения травм.</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pStyle w:val="a3"/>
            </w:pPr>
            <w:r w:rsidRPr="004C2339">
              <w:t>2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6.</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Подколенник</w:t>
            </w:r>
          </w:p>
        </w:tc>
        <w:tc>
          <w:tcPr>
            <w:tcW w:w="5386" w:type="dxa"/>
            <w:tcBorders>
              <w:top w:val="single" w:sz="4" w:space="0" w:color="auto"/>
              <w:left w:val="single" w:sz="4" w:space="0" w:color="auto"/>
              <w:bottom w:val="single" w:sz="4" w:space="0" w:color="auto"/>
              <w:right w:val="single" w:sz="4" w:space="0" w:color="auto"/>
            </w:tcBorders>
          </w:tcPr>
          <w:p w:rsidR="006F2A2A" w:rsidRPr="004C2339" w:rsidRDefault="00BB7EEE" w:rsidP="00395ED2">
            <w:r>
              <w:t xml:space="preserve">Должны </w:t>
            </w:r>
            <w:r w:rsidR="00101CFF">
              <w:t>р</w:t>
            </w:r>
            <w:r w:rsidR="006F2A2A" w:rsidRPr="004C2339">
              <w:t>егулир</w:t>
            </w:r>
            <w:r>
              <w:t>оваться</w:t>
            </w:r>
            <w:r w:rsidR="006F2A2A" w:rsidRPr="004C2339">
              <w:t xml:space="preserve"> по высоте, углу наклона и направлению с последующей фиксаций при помощи поворотных зажимов. </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pStyle w:val="a3"/>
            </w:pPr>
            <w:r w:rsidRPr="004C2339">
              <w:t>2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7.</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Ручка для потуг правая</w:t>
            </w:r>
          </w:p>
        </w:tc>
        <w:tc>
          <w:tcPr>
            <w:tcW w:w="5386" w:type="dxa"/>
            <w:tcBorders>
              <w:top w:val="single" w:sz="4" w:space="0" w:color="auto"/>
              <w:left w:val="single" w:sz="4" w:space="0" w:color="auto"/>
              <w:bottom w:val="single" w:sz="4" w:space="0" w:color="auto"/>
              <w:right w:val="single" w:sz="4" w:space="0" w:color="auto"/>
            </w:tcBorders>
          </w:tcPr>
          <w:p w:rsidR="004C2339" w:rsidRDefault="00BB7EEE" w:rsidP="00395ED2">
            <w:proofErr w:type="gramStart"/>
            <w:r>
              <w:t>Должна быть в</w:t>
            </w:r>
            <w:r w:rsidR="006F2A2A" w:rsidRPr="004C2339">
              <w:t xml:space="preserve">ыполнены из стальной трубы с полимерно-порошковым покрытием и оснащены </w:t>
            </w:r>
            <w:proofErr w:type="spellStart"/>
            <w:r w:rsidR="006F2A2A" w:rsidRPr="004C2339">
              <w:t>термоусадочной</w:t>
            </w:r>
            <w:proofErr w:type="spellEnd"/>
            <w:r w:rsidR="006F2A2A" w:rsidRPr="004C2339">
              <w:t xml:space="preserve"> плёнкой или резиновыми наконечниками. </w:t>
            </w:r>
            <w:proofErr w:type="gramEnd"/>
          </w:p>
          <w:p w:rsidR="006F2A2A" w:rsidRPr="004C2339" w:rsidRDefault="00BB7EEE" w:rsidP="00395ED2">
            <w:r>
              <w:t>Должна быть а</w:t>
            </w:r>
            <w:r w:rsidR="006F2A2A" w:rsidRPr="004C2339">
              <w:t>нтикоррозийная стойкость металлических элементов конструкции.</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pStyle w:val="a3"/>
            </w:pPr>
            <w:r w:rsidRPr="004C2339">
              <w:t>1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8.</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Ручка для потуг левая</w:t>
            </w:r>
          </w:p>
        </w:tc>
        <w:tc>
          <w:tcPr>
            <w:tcW w:w="5386" w:type="dxa"/>
            <w:tcBorders>
              <w:top w:val="single" w:sz="4" w:space="0" w:color="auto"/>
              <w:left w:val="single" w:sz="4" w:space="0" w:color="auto"/>
              <w:bottom w:val="single" w:sz="4" w:space="0" w:color="auto"/>
              <w:right w:val="single" w:sz="4" w:space="0" w:color="auto"/>
            </w:tcBorders>
          </w:tcPr>
          <w:p w:rsidR="00BB7EEE" w:rsidRDefault="00BB7EEE" w:rsidP="00395ED2">
            <w:proofErr w:type="gramStart"/>
            <w:r>
              <w:t xml:space="preserve">Должна быть выполнены из стальной трубы с полимерно-порошковым покрытием и оснащены </w:t>
            </w:r>
            <w:proofErr w:type="spellStart"/>
            <w:r>
              <w:t>термоусадочной</w:t>
            </w:r>
            <w:proofErr w:type="spellEnd"/>
            <w:r>
              <w:t xml:space="preserve"> плёнкой или резиновыми наконечниками. </w:t>
            </w:r>
            <w:proofErr w:type="gramEnd"/>
          </w:p>
          <w:p w:rsidR="006F2A2A" w:rsidRPr="004C2339" w:rsidRDefault="00BB7EEE" w:rsidP="00395ED2">
            <w:r>
              <w:t>Должна быть антикоррозийная стойкость металлических элементов конструкции.</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pStyle w:val="a3"/>
            </w:pPr>
            <w:r w:rsidRPr="004C2339">
              <w:t>1 шт.</w:t>
            </w:r>
          </w:p>
        </w:tc>
      </w:tr>
      <w:tr w:rsidR="006F2A2A" w:rsidRPr="004C2339" w:rsidTr="00395ED2">
        <w:trPr>
          <w:trHeight w:val="141"/>
        </w:trPr>
        <w:tc>
          <w:tcPr>
            <w:tcW w:w="708"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4535" w:type="dxa"/>
            <w:vMerge/>
            <w:tcBorders>
              <w:top w:val="single" w:sz="4" w:space="0" w:color="auto"/>
              <w:left w:val="single" w:sz="4" w:space="0" w:color="auto"/>
              <w:bottom w:val="single" w:sz="4" w:space="0" w:color="auto"/>
              <w:right w:val="single" w:sz="4" w:space="0" w:color="auto"/>
            </w:tcBorders>
          </w:tcPr>
          <w:p w:rsidR="006F2A2A" w:rsidRPr="004C2339" w:rsidRDefault="006F2A2A" w:rsidP="00395ED2">
            <w:pPr>
              <w:rPr>
                <w:b/>
              </w:rPr>
            </w:pPr>
          </w:p>
        </w:tc>
        <w:tc>
          <w:tcPr>
            <w:tcW w:w="56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rPr>
                <w:rFonts w:eastAsiaTheme="minorEastAsia"/>
              </w:rPr>
            </w:pPr>
            <w:r w:rsidRPr="004C2339">
              <w:rPr>
                <w:rFonts w:eastAsiaTheme="minorEastAsia"/>
              </w:rPr>
              <w:t>9.</w:t>
            </w:r>
          </w:p>
        </w:tc>
        <w:tc>
          <w:tcPr>
            <w:tcW w:w="2412"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Тазик</w:t>
            </w:r>
          </w:p>
        </w:tc>
        <w:tc>
          <w:tcPr>
            <w:tcW w:w="5386" w:type="dxa"/>
            <w:tcBorders>
              <w:top w:val="single" w:sz="4" w:space="0" w:color="auto"/>
              <w:left w:val="single" w:sz="4" w:space="0" w:color="auto"/>
              <w:bottom w:val="single" w:sz="4" w:space="0" w:color="auto"/>
              <w:right w:val="single" w:sz="4" w:space="0" w:color="auto"/>
            </w:tcBorders>
          </w:tcPr>
          <w:p w:rsidR="006F2A2A" w:rsidRPr="004C2339" w:rsidRDefault="006F2A2A" w:rsidP="00395ED2">
            <w:r w:rsidRPr="004C2339">
              <w:t xml:space="preserve">Тазик для сбора жидкости из нержавеющей стали. </w:t>
            </w:r>
          </w:p>
        </w:tc>
        <w:tc>
          <w:tcPr>
            <w:tcW w:w="1557" w:type="dxa"/>
            <w:tcBorders>
              <w:top w:val="single" w:sz="4" w:space="0" w:color="auto"/>
              <w:left w:val="single" w:sz="4" w:space="0" w:color="auto"/>
              <w:bottom w:val="single" w:sz="4" w:space="0" w:color="auto"/>
              <w:right w:val="single" w:sz="4" w:space="0" w:color="auto"/>
            </w:tcBorders>
          </w:tcPr>
          <w:p w:rsidR="006F2A2A" w:rsidRPr="004C2339" w:rsidRDefault="006F2A2A" w:rsidP="00395ED2">
            <w:pPr>
              <w:pStyle w:val="a3"/>
            </w:pPr>
            <w:r w:rsidRPr="004C2339">
              <w:t>1 шт.</w:t>
            </w:r>
          </w:p>
        </w:tc>
      </w:tr>
      <w:tr w:rsidR="00BC7509" w:rsidRPr="004C2339" w:rsidTr="00395ED2">
        <w:trPr>
          <w:trHeight w:val="470"/>
        </w:trPr>
        <w:tc>
          <w:tcPr>
            <w:tcW w:w="708" w:type="dxa"/>
            <w:tcBorders>
              <w:top w:val="single" w:sz="4" w:space="0" w:color="auto"/>
              <w:left w:val="single" w:sz="4" w:space="0" w:color="auto"/>
              <w:bottom w:val="single" w:sz="4" w:space="0" w:color="auto"/>
              <w:right w:val="single" w:sz="4" w:space="0" w:color="auto"/>
            </w:tcBorders>
            <w:hideMark/>
          </w:tcPr>
          <w:p w:rsidR="00BC7509" w:rsidRPr="00787CD5" w:rsidRDefault="00787CD5" w:rsidP="00395ED2">
            <w:pPr>
              <w:tabs>
                <w:tab w:val="left" w:pos="450"/>
              </w:tabs>
              <w:rPr>
                <w:b/>
              </w:rPr>
            </w:pPr>
            <w:r>
              <w:rPr>
                <w:b/>
              </w:rPr>
              <w:t>4</w:t>
            </w:r>
          </w:p>
        </w:tc>
        <w:tc>
          <w:tcPr>
            <w:tcW w:w="4535" w:type="dxa"/>
            <w:tcBorders>
              <w:top w:val="single" w:sz="4" w:space="0" w:color="auto"/>
              <w:left w:val="single" w:sz="4" w:space="0" w:color="auto"/>
              <w:bottom w:val="single" w:sz="4" w:space="0" w:color="auto"/>
              <w:right w:val="single" w:sz="4" w:space="0" w:color="auto"/>
            </w:tcBorders>
            <w:hideMark/>
          </w:tcPr>
          <w:p w:rsidR="00BC7509" w:rsidRPr="004C2339" w:rsidRDefault="00BC7509" w:rsidP="00395ED2">
            <w:pPr>
              <w:rPr>
                <w:b/>
              </w:rPr>
            </w:pPr>
            <w:r w:rsidRPr="004C2339">
              <w:rPr>
                <w:b/>
                <w:bCs/>
              </w:rPr>
              <w:t>Требования к условиям эксплуатации</w:t>
            </w:r>
          </w:p>
        </w:tc>
        <w:tc>
          <w:tcPr>
            <w:tcW w:w="9922" w:type="dxa"/>
            <w:gridSpan w:val="4"/>
            <w:tcBorders>
              <w:top w:val="single" w:sz="4" w:space="0" w:color="auto"/>
              <w:left w:val="single" w:sz="4" w:space="0" w:color="auto"/>
              <w:bottom w:val="single" w:sz="4" w:space="0" w:color="auto"/>
              <w:right w:val="single" w:sz="4" w:space="0" w:color="auto"/>
            </w:tcBorders>
          </w:tcPr>
          <w:p w:rsidR="00BC7509" w:rsidRPr="004C2339" w:rsidRDefault="00BC7509" w:rsidP="00395ED2"/>
        </w:tc>
      </w:tr>
      <w:tr w:rsidR="00BC7509" w:rsidRPr="004C2339" w:rsidTr="00395ED2">
        <w:trPr>
          <w:trHeight w:val="470"/>
        </w:trPr>
        <w:tc>
          <w:tcPr>
            <w:tcW w:w="708" w:type="dxa"/>
            <w:tcBorders>
              <w:top w:val="single" w:sz="4" w:space="0" w:color="auto"/>
              <w:left w:val="single" w:sz="4" w:space="0" w:color="auto"/>
              <w:bottom w:val="single" w:sz="4" w:space="0" w:color="auto"/>
              <w:right w:val="single" w:sz="4" w:space="0" w:color="auto"/>
            </w:tcBorders>
            <w:hideMark/>
          </w:tcPr>
          <w:p w:rsidR="00BC7509" w:rsidRPr="00787CD5" w:rsidRDefault="00787CD5" w:rsidP="00395ED2">
            <w:pPr>
              <w:rPr>
                <w:b/>
              </w:rPr>
            </w:pPr>
            <w:r>
              <w:rPr>
                <w:b/>
              </w:rPr>
              <w:t>5</w:t>
            </w:r>
          </w:p>
        </w:tc>
        <w:tc>
          <w:tcPr>
            <w:tcW w:w="4535" w:type="dxa"/>
            <w:tcBorders>
              <w:top w:val="single" w:sz="4" w:space="0" w:color="auto"/>
              <w:left w:val="single" w:sz="4" w:space="0" w:color="auto"/>
              <w:bottom w:val="single" w:sz="4" w:space="0" w:color="auto"/>
              <w:right w:val="single" w:sz="4" w:space="0" w:color="auto"/>
            </w:tcBorders>
            <w:hideMark/>
          </w:tcPr>
          <w:p w:rsidR="00BC7509" w:rsidRPr="004C2339" w:rsidRDefault="00BC7509" w:rsidP="00395ED2">
            <w:pPr>
              <w:rPr>
                <w:b/>
              </w:rPr>
            </w:pPr>
            <w:r w:rsidRPr="004C2339">
              <w:rPr>
                <w:b/>
              </w:rPr>
              <w:t xml:space="preserve">Условия осуществления поставки </w:t>
            </w:r>
            <w:r w:rsidR="00B218EB" w:rsidRPr="004C2339">
              <w:rPr>
                <w:b/>
              </w:rPr>
              <w:t>МИ</w:t>
            </w:r>
          </w:p>
          <w:p w:rsidR="00BC7509" w:rsidRPr="004C2339" w:rsidRDefault="00BC7509" w:rsidP="00395ED2">
            <w:pPr>
              <w:rPr>
                <w:i/>
              </w:rPr>
            </w:pPr>
            <w:r w:rsidRPr="004C2339">
              <w:rPr>
                <w:i/>
              </w:rPr>
              <w:lastRenderedPageBreak/>
              <w:t>(в соответствии с ИНКОТЕРМС 2010)</w:t>
            </w:r>
          </w:p>
        </w:tc>
        <w:tc>
          <w:tcPr>
            <w:tcW w:w="9922" w:type="dxa"/>
            <w:gridSpan w:val="4"/>
            <w:tcBorders>
              <w:top w:val="single" w:sz="4" w:space="0" w:color="auto"/>
              <w:left w:val="single" w:sz="4" w:space="0" w:color="auto"/>
              <w:bottom w:val="single" w:sz="4" w:space="0" w:color="auto"/>
              <w:right w:val="single" w:sz="4" w:space="0" w:color="auto"/>
            </w:tcBorders>
            <w:hideMark/>
          </w:tcPr>
          <w:p w:rsidR="00BC7509" w:rsidRPr="004C2339" w:rsidRDefault="00BC7509" w:rsidP="00395ED2">
            <w:r w:rsidRPr="004C2339">
              <w:rPr>
                <w:lang w:val="en-US"/>
              </w:rPr>
              <w:lastRenderedPageBreak/>
              <w:t>DDP</w:t>
            </w:r>
            <w:r w:rsidRPr="004C2339">
              <w:t xml:space="preserve"> пункт назначения</w:t>
            </w:r>
          </w:p>
        </w:tc>
      </w:tr>
      <w:tr w:rsidR="00BC7509" w:rsidRPr="004C2339" w:rsidTr="00395ED2">
        <w:trPr>
          <w:trHeight w:val="470"/>
        </w:trPr>
        <w:tc>
          <w:tcPr>
            <w:tcW w:w="708" w:type="dxa"/>
            <w:tcBorders>
              <w:top w:val="single" w:sz="4" w:space="0" w:color="auto"/>
              <w:left w:val="single" w:sz="4" w:space="0" w:color="auto"/>
              <w:bottom w:val="single" w:sz="4" w:space="0" w:color="auto"/>
              <w:right w:val="single" w:sz="4" w:space="0" w:color="auto"/>
            </w:tcBorders>
            <w:hideMark/>
          </w:tcPr>
          <w:p w:rsidR="00BC7509" w:rsidRPr="00787CD5" w:rsidRDefault="00787CD5" w:rsidP="00395ED2">
            <w:pPr>
              <w:rPr>
                <w:b/>
              </w:rPr>
            </w:pPr>
            <w:r>
              <w:rPr>
                <w:b/>
              </w:rPr>
              <w:lastRenderedPageBreak/>
              <w:t>6</w:t>
            </w:r>
          </w:p>
        </w:tc>
        <w:tc>
          <w:tcPr>
            <w:tcW w:w="4535" w:type="dxa"/>
            <w:tcBorders>
              <w:top w:val="single" w:sz="4" w:space="0" w:color="auto"/>
              <w:left w:val="single" w:sz="4" w:space="0" w:color="auto"/>
              <w:bottom w:val="single" w:sz="4" w:space="0" w:color="auto"/>
              <w:right w:val="single" w:sz="4" w:space="0" w:color="auto"/>
            </w:tcBorders>
            <w:hideMark/>
          </w:tcPr>
          <w:p w:rsidR="00BC7509" w:rsidRPr="004C2339" w:rsidRDefault="00BC7509" w:rsidP="00395ED2">
            <w:pPr>
              <w:rPr>
                <w:b/>
              </w:rPr>
            </w:pPr>
            <w:r w:rsidRPr="004C2339">
              <w:rPr>
                <w:b/>
              </w:rPr>
              <w:t xml:space="preserve">Срок поставки </w:t>
            </w:r>
            <w:r w:rsidR="00B218EB" w:rsidRPr="004C2339">
              <w:rPr>
                <w:b/>
              </w:rPr>
              <w:t>МИ</w:t>
            </w:r>
            <w:r w:rsidRPr="004C2339">
              <w:rPr>
                <w:b/>
              </w:rPr>
              <w:t xml:space="preserve"> и место дислокации </w:t>
            </w:r>
          </w:p>
        </w:tc>
        <w:tc>
          <w:tcPr>
            <w:tcW w:w="9922" w:type="dxa"/>
            <w:gridSpan w:val="4"/>
            <w:tcBorders>
              <w:top w:val="single" w:sz="4" w:space="0" w:color="auto"/>
              <w:left w:val="single" w:sz="4" w:space="0" w:color="auto"/>
              <w:bottom w:val="single" w:sz="4" w:space="0" w:color="auto"/>
              <w:right w:val="single" w:sz="4" w:space="0" w:color="auto"/>
            </w:tcBorders>
            <w:hideMark/>
          </w:tcPr>
          <w:p w:rsidR="00E85875" w:rsidRDefault="00E85875" w:rsidP="00E85875">
            <w:r>
              <w:t>120 календарных дней</w:t>
            </w:r>
          </w:p>
          <w:p w:rsidR="00BC7509" w:rsidRPr="004C2339" w:rsidRDefault="00E85875" w:rsidP="00E85875">
            <w:r>
              <w:t xml:space="preserve">Адрес: </w:t>
            </w:r>
            <w:proofErr w:type="spellStart"/>
            <w:r>
              <w:t>Костанайская</w:t>
            </w:r>
            <w:proofErr w:type="spellEnd"/>
            <w:r>
              <w:t xml:space="preserve"> область, Федоровский район, село Федоровка, улица К. Либкнехта 1</w:t>
            </w:r>
          </w:p>
        </w:tc>
      </w:tr>
      <w:tr w:rsidR="00BC7509" w:rsidRPr="004C2339" w:rsidTr="00395ED2">
        <w:trPr>
          <w:trHeight w:val="136"/>
        </w:trPr>
        <w:tc>
          <w:tcPr>
            <w:tcW w:w="708" w:type="dxa"/>
            <w:tcBorders>
              <w:top w:val="single" w:sz="4" w:space="0" w:color="auto"/>
              <w:left w:val="single" w:sz="4" w:space="0" w:color="auto"/>
              <w:bottom w:val="single" w:sz="4" w:space="0" w:color="auto"/>
              <w:right w:val="single" w:sz="4" w:space="0" w:color="auto"/>
            </w:tcBorders>
            <w:hideMark/>
          </w:tcPr>
          <w:p w:rsidR="00BC7509" w:rsidRPr="00787CD5" w:rsidRDefault="00787CD5" w:rsidP="00395ED2">
            <w:pPr>
              <w:rPr>
                <w:b/>
              </w:rPr>
            </w:pPr>
            <w:r>
              <w:rPr>
                <w:b/>
              </w:rPr>
              <w:t>7</w:t>
            </w:r>
          </w:p>
        </w:tc>
        <w:tc>
          <w:tcPr>
            <w:tcW w:w="4535" w:type="dxa"/>
            <w:tcBorders>
              <w:top w:val="single" w:sz="4" w:space="0" w:color="auto"/>
              <w:left w:val="single" w:sz="4" w:space="0" w:color="auto"/>
              <w:bottom w:val="single" w:sz="4" w:space="0" w:color="auto"/>
              <w:right w:val="single" w:sz="4" w:space="0" w:color="auto"/>
            </w:tcBorders>
            <w:hideMark/>
          </w:tcPr>
          <w:p w:rsidR="00BC7509" w:rsidRPr="004C2339" w:rsidRDefault="00BC7509" w:rsidP="00395ED2">
            <w:r w:rsidRPr="004C2339">
              <w:rPr>
                <w:b/>
              </w:rPr>
              <w:t xml:space="preserve">Условия гарантийного и дополнительного сервисного обслуживания </w:t>
            </w:r>
            <w:r w:rsidR="00B218EB" w:rsidRPr="004C2339">
              <w:rPr>
                <w:b/>
              </w:rPr>
              <w:t>МИ</w:t>
            </w:r>
            <w:r w:rsidRPr="004C2339">
              <w:rPr>
                <w:b/>
              </w:rPr>
              <w:t xml:space="preserve"> поставщиком, его сервисными центрами в Республике Казахстан либо с привлечением третьих компетентных лиц</w:t>
            </w:r>
          </w:p>
        </w:tc>
        <w:tc>
          <w:tcPr>
            <w:tcW w:w="9922" w:type="dxa"/>
            <w:gridSpan w:val="4"/>
            <w:tcBorders>
              <w:top w:val="single" w:sz="4" w:space="0" w:color="auto"/>
              <w:left w:val="single" w:sz="4" w:space="0" w:color="auto"/>
              <w:bottom w:val="single" w:sz="4" w:space="0" w:color="auto"/>
              <w:right w:val="single" w:sz="4" w:space="0" w:color="auto"/>
            </w:tcBorders>
            <w:hideMark/>
          </w:tcPr>
          <w:p w:rsidR="00395ED2" w:rsidRDefault="00395ED2" w:rsidP="00395ED2">
            <w:r>
              <w:t>Гарантийное сервисное обслуживание МИ не менее 37 месяцев.</w:t>
            </w:r>
          </w:p>
          <w:p w:rsidR="00395ED2" w:rsidRDefault="00395ED2" w:rsidP="00395ED2">
            <w:r>
              <w:t>Плановое техническое обслуживание должно проводиться не реже чем 1 раз в квартал.</w:t>
            </w:r>
          </w:p>
          <w:p w:rsidR="00395ED2" w:rsidRDefault="00395ED2" w:rsidP="00395ED2">
            <w:r>
              <w:t>Работы по техническому обслуживанию выполняются в соответствии с требованиями эксплуатационной документации и должны включать в себя:</w:t>
            </w:r>
          </w:p>
          <w:p w:rsidR="00395ED2" w:rsidRDefault="00395ED2" w:rsidP="00395ED2">
            <w:r>
              <w:t>- замену отработавших ресурс составных частей;</w:t>
            </w:r>
          </w:p>
          <w:p w:rsidR="00395ED2" w:rsidRDefault="00395ED2" w:rsidP="00395ED2">
            <w:r>
              <w:t>- замене или восстановлении отдельных частей МИ;</w:t>
            </w:r>
          </w:p>
          <w:p w:rsidR="00395ED2" w:rsidRDefault="00395ED2" w:rsidP="00395ED2">
            <w:r>
              <w:t>- настройку и регулировку изделия; специфические для данного изделия работы и т.п.;</w:t>
            </w:r>
          </w:p>
          <w:p w:rsidR="00395ED2" w:rsidRDefault="00395ED2" w:rsidP="00395ED2">
            <w:r>
              <w:t>- чистку, смазку и при необходимости переборку основных механизмов и узлов;</w:t>
            </w:r>
          </w:p>
          <w:p w:rsidR="00395ED2" w:rsidRDefault="00395ED2" w:rsidP="00395ED2">
            <w: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BC7509" w:rsidRPr="004C2339" w:rsidRDefault="00395ED2" w:rsidP="00395ED2">
            <w:r>
              <w:t>- иные указанные в эксплуатационной документации операции, специфические для конкретного типа изделий</w:t>
            </w:r>
          </w:p>
        </w:tc>
      </w:tr>
    </w:tbl>
    <w:p w:rsidR="007C19A5" w:rsidRDefault="00787CD5" w:rsidP="00787CD5">
      <w:pPr>
        <w:rPr>
          <w:i/>
          <w:sz w:val="22"/>
          <w:szCs w:val="22"/>
        </w:rPr>
      </w:pPr>
      <w:r w:rsidRPr="00787CD5">
        <w:rPr>
          <w:rFonts w:eastAsia="Calibri"/>
          <w:bCs/>
          <w:sz w:val="22"/>
          <w:szCs w:val="22"/>
          <w:lang w:eastAsia="ko-KR"/>
        </w:rPr>
        <w:t xml:space="preserve">Товары должны быть новыми и ранее неиспользованными, при этом поставщик принимает на себя обязательства по предоставлению медицинской техники, произведенной не позднее двадцати четырех месяцев к 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должны осуществляться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должно быть 220В без дополнительных переходников или трансформаторов. Программное обеспечение, поставляемое с приборами должно быть совместимым с программным обеспечением установленного оборудования конечного получателя. Поставщик обязан обеспечить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Поставщик обязан в течение 10 (десяти) календарных дней </w:t>
      </w:r>
      <w:proofErr w:type="gramStart"/>
      <w:r w:rsidRPr="00787CD5">
        <w:rPr>
          <w:rFonts w:eastAsia="Calibri"/>
          <w:bCs/>
          <w:sz w:val="22"/>
          <w:szCs w:val="22"/>
          <w:lang w:eastAsia="ko-KR"/>
        </w:rPr>
        <w:t>с даты подписания</w:t>
      </w:r>
      <w:proofErr w:type="gramEnd"/>
      <w:r w:rsidRPr="00787CD5">
        <w:rPr>
          <w:rFonts w:eastAsia="Calibri"/>
          <w:bCs/>
          <w:sz w:val="22"/>
          <w:szCs w:val="22"/>
          <w:lang w:eastAsia="ko-KR"/>
        </w:rPr>
        <w:t xml:space="preserve"> акта приема –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 В случае если срок ремонта будет установлен более чем 20 (двадцать)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 В целях недопущения простоя срок осуществления ремонта медицинской техники не превышает пятнадцати рабочих дней </w:t>
      </w:r>
      <w:proofErr w:type="gramStart"/>
      <w:r w:rsidRPr="00787CD5">
        <w:rPr>
          <w:rFonts w:eastAsia="Calibri"/>
          <w:bCs/>
          <w:sz w:val="22"/>
          <w:szCs w:val="22"/>
          <w:lang w:eastAsia="ko-KR"/>
        </w:rPr>
        <w:t>с даты выявления</w:t>
      </w:r>
      <w:proofErr w:type="gramEnd"/>
      <w:r w:rsidRPr="00787CD5">
        <w:rPr>
          <w:rFonts w:eastAsia="Calibri"/>
          <w:bCs/>
          <w:sz w:val="22"/>
          <w:szCs w:val="22"/>
          <w:lang w:eastAsia="ko-KR"/>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К технической спецификации потенциального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должны быть внесены в реестр государственной </w:t>
      </w:r>
      <w:proofErr w:type="gramStart"/>
      <w:r w:rsidRPr="00787CD5">
        <w:rPr>
          <w:rFonts w:eastAsia="Calibri"/>
          <w:bCs/>
          <w:sz w:val="22"/>
          <w:szCs w:val="22"/>
          <w:lang w:eastAsia="ko-KR"/>
        </w:rPr>
        <w:t>системы обеспечения единства измерений Республики</w:t>
      </w:r>
      <w:proofErr w:type="gramEnd"/>
      <w:r w:rsidRPr="00787CD5">
        <w:rPr>
          <w:rFonts w:eastAsia="Calibri"/>
          <w:bCs/>
          <w:sz w:val="22"/>
          <w:szCs w:val="22"/>
          <w:lang w:eastAsia="ko-KR"/>
        </w:rPr>
        <w:t xml:space="preserve"> Казахстан в соответствии с законодательством Республики Казахстан об обеспечении единства измерений. Не позднее, чем за 40 календарных дней до инсталляции оборудования, поставщик должен уведомить конечного потребителя о </w:t>
      </w:r>
      <w:proofErr w:type="spellStart"/>
      <w:r w:rsidRPr="00787CD5">
        <w:rPr>
          <w:rFonts w:eastAsia="Calibri"/>
          <w:bCs/>
          <w:sz w:val="22"/>
          <w:szCs w:val="22"/>
          <w:lang w:eastAsia="ko-KR"/>
        </w:rPr>
        <w:t>прединсталляционных</w:t>
      </w:r>
      <w:proofErr w:type="spellEnd"/>
      <w:r w:rsidRPr="00787CD5">
        <w:rPr>
          <w:rFonts w:eastAsia="Calibri"/>
          <w:bCs/>
          <w:sz w:val="22"/>
          <w:szCs w:val="22"/>
          <w:lang w:eastAsia="ko-KR"/>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787CD5">
        <w:rPr>
          <w:rFonts w:eastAsia="Calibri"/>
          <w:bCs/>
          <w:sz w:val="22"/>
          <w:szCs w:val="22"/>
          <w:lang w:eastAsia="ko-KR"/>
        </w:rPr>
        <w:t>прединсталляционной</w:t>
      </w:r>
      <w:proofErr w:type="spellEnd"/>
      <w:r w:rsidRPr="00787CD5">
        <w:rPr>
          <w:rFonts w:eastAsia="Calibri"/>
          <w:bCs/>
          <w:sz w:val="22"/>
          <w:szCs w:val="22"/>
          <w:lang w:eastAsia="ko-KR"/>
        </w:rPr>
        <w:t xml:space="preserve"> подготовкой помещения, по внешним габаритам должно проходить в стандартные проемы дверей (ширина 80 см., высота 200 см.). </w:t>
      </w:r>
      <w:r w:rsidRPr="00787CD5">
        <w:rPr>
          <w:rFonts w:eastAsia="Calibri"/>
          <w:bCs/>
          <w:sz w:val="22"/>
          <w:szCs w:val="22"/>
          <w:lang w:eastAsia="ko-KR"/>
        </w:rPr>
        <w:lastRenderedPageBreak/>
        <w:t xml:space="preserve">Доставку к рабочему месту, разгрузку оборудования, распаковку, установку, наладку и запуск приборов, проверку их </w:t>
      </w:r>
      <w:proofErr w:type="gramStart"/>
      <w:r w:rsidRPr="00787CD5">
        <w:rPr>
          <w:rFonts w:eastAsia="Calibri"/>
          <w:bCs/>
          <w:sz w:val="22"/>
          <w:szCs w:val="22"/>
          <w:lang w:eastAsia="ko-KR"/>
        </w:rPr>
        <w:t>характеристик на соответствие</w:t>
      </w:r>
      <w:proofErr w:type="gramEnd"/>
      <w:r w:rsidRPr="00787CD5">
        <w:rPr>
          <w:rFonts w:eastAsia="Calibri"/>
          <w:bCs/>
          <w:sz w:val="22"/>
          <w:szCs w:val="22"/>
          <w:lang w:eastAsia="ko-KR"/>
        </w:rPr>
        <w:t xml:space="preserve"> данному документу и спецификации фирмы (точность, чувствительность, производительность и т.д.), обучение персонала осуществляет поставщик.</w:t>
      </w:r>
    </w:p>
    <w:p w:rsidR="007C19A5" w:rsidRPr="007C19A5" w:rsidRDefault="007C19A5" w:rsidP="007C19A5">
      <w:pPr>
        <w:rPr>
          <w:sz w:val="22"/>
          <w:szCs w:val="22"/>
        </w:rPr>
      </w:pPr>
    </w:p>
    <w:p w:rsidR="007C19A5" w:rsidRDefault="007C19A5" w:rsidP="007C19A5">
      <w:pPr>
        <w:rPr>
          <w:sz w:val="22"/>
          <w:szCs w:val="22"/>
        </w:rPr>
      </w:pPr>
    </w:p>
    <w:p w:rsidR="007C19A5" w:rsidRDefault="007C19A5" w:rsidP="007C19A5">
      <w:pPr>
        <w:jc w:val="both"/>
        <w:rPr>
          <w:b/>
          <w:sz w:val="22"/>
          <w:szCs w:val="22"/>
        </w:rPr>
      </w:pPr>
      <w:r>
        <w:rPr>
          <w:b/>
          <w:sz w:val="22"/>
          <w:szCs w:val="22"/>
        </w:rPr>
        <w:t xml:space="preserve">    Главный врач</w:t>
      </w:r>
    </w:p>
    <w:p w:rsidR="007C19A5" w:rsidRDefault="007C19A5" w:rsidP="007C19A5">
      <w:pPr>
        <w:jc w:val="both"/>
        <w:rPr>
          <w:b/>
          <w:sz w:val="22"/>
          <w:szCs w:val="22"/>
        </w:rPr>
      </w:pPr>
      <w:r>
        <w:rPr>
          <w:b/>
          <w:sz w:val="22"/>
          <w:szCs w:val="22"/>
        </w:rPr>
        <w:t xml:space="preserve">    КГП «Федоровская районная больница»</w:t>
      </w:r>
    </w:p>
    <w:p w:rsidR="007C19A5" w:rsidRDefault="007C19A5" w:rsidP="007C19A5">
      <w:pPr>
        <w:jc w:val="both"/>
        <w:rPr>
          <w:b/>
          <w:sz w:val="22"/>
          <w:szCs w:val="22"/>
        </w:rPr>
      </w:pPr>
      <w:r>
        <w:rPr>
          <w:b/>
          <w:sz w:val="22"/>
          <w:szCs w:val="22"/>
        </w:rPr>
        <w:t xml:space="preserve">    </w:t>
      </w:r>
      <w:proofErr w:type="spellStart"/>
      <w:r>
        <w:rPr>
          <w:b/>
          <w:sz w:val="22"/>
          <w:szCs w:val="22"/>
        </w:rPr>
        <w:t>Сыргабаев</w:t>
      </w:r>
      <w:proofErr w:type="spellEnd"/>
      <w:r>
        <w:rPr>
          <w:b/>
          <w:sz w:val="22"/>
          <w:szCs w:val="22"/>
        </w:rPr>
        <w:t xml:space="preserve"> М.С.  ______________________</w:t>
      </w:r>
    </w:p>
    <w:p w:rsidR="007C19A5" w:rsidRDefault="007C19A5" w:rsidP="007C19A5">
      <w:pPr>
        <w:rPr>
          <w:sz w:val="22"/>
          <w:szCs w:val="22"/>
        </w:rPr>
      </w:pPr>
    </w:p>
    <w:p w:rsidR="007C19A5" w:rsidRDefault="007C19A5" w:rsidP="007C19A5">
      <w:pPr>
        <w:rPr>
          <w:sz w:val="22"/>
          <w:szCs w:val="22"/>
        </w:rPr>
      </w:pPr>
    </w:p>
    <w:p w:rsidR="00787CD5" w:rsidRPr="007C19A5" w:rsidRDefault="00787CD5" w:rsidP="007C19A5">
      <w:pPr>
        <w:rPr>
          <w:sz w:val="22"/>
          <w:szCs w:val="22"/>
        </w:rPr>
        <w:sectPr w:rsidR="00787CD5" w:rsidRPr="007C19A5" w:rsidSect="00F43E92">
          <w:pgSz w:w="16838" w:h="11906" w:orient="landscape" w:code="9"/>
          <w:pgMar w:top="851" w:right="1134" w:bottom="1134" w:left="1134" w:header="720" w:footer="709" w:gutter="0"/>
          <w:cols w:space="708"/>
          <w:docGrid w:linePitch="360"/>
        </w:sectPr>
      </w:pPr>
    </w:p>
    <w:p w:rsidR="002F73BE" w:rsidRDefault="002F73BE" w:rsidP="00910366"/>
    <w:sectPr w:rsidR="002F73BE" w:rsidSect="002F73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6154"/>
    <w:multiLevelType w:val="multilevel"/>
    <w:tmpl w:val="8C04EAE8"/>
    <w:lvl w:ilvl="0">
      <w:start w:val="5"/>
      <w:numFmt w:val="bullet"/>
      <w:lvlText w:val="-"/>
      <w:lvlJc w:val="left"/>
      <w:rPr>
        <w:rFonts w:ascii="Times New Roman" w:hAnsi="Times New Roman" w:cs="Times New Roman"/>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1">
    <w:nsid w:val="2D9C6866"/>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abstractNum w:abstractNumId="2">
    <w:nsid w:val="2DAE3196"/>
    <w:multiLevelType w:val="multilevel"/>
    <w:tmpl w:val="F6248DCE"/>
    <w:lvl w:ilvl="0">
      <w:numFmt w:val="bullet"/>
      <w:lvlText w:val="-"/>
      <w:lvlJc w:val="left"/>
      <w:rPr>
        <w:rFonts w:ascii="MS Mincho" w:hAnsi="Arial" w:cs="MS Mincho"/>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3">
    <w:nsid w:val="4A0C0156"/>
    <w:multiLevelType w:val="multilevel"/>
    <w:tmpl w:val="00000001"/>
    <w:name w:val="List1242300758_1"/>
    <w:lvl w:ilvl="0">
      <w:start w:val="1"/>
      <w:numFmt w:val="decimal"/>
      <w:lvlText w:val="%1."/>
      <w:lvlJc w:val="left"/>
      <w:pPr>
        <w:ind w:left="0" w:firstLine="0"/>
      </w:pPr>
      <w:rPr>
        <w:rFonts w:ascii="Arial" w:hAnsi="Arial" w:cs="Arial"/>
        <w:sz w:val="22"/>
        <w:szCs w:val="22"/>
      </w:rPr>
    </w:lvl>
    <w:lvl w:ilvl="1">
      <w:start w:val="1"/>
      <w:numFmt w:val="decimal"/>
      <w:lvlText w:val="%2."/>
      <w:lvlJc w:val="left"/>
      <w:pPr>
        <w:ind w:left="0" w:firstLine="0"/>
      </w:pPr>
      <w:rPr>
        <w:rFonts w:ascii="Arial" w:hAnsi="Arial" w:cs="Arial"/>
        <w:sz w:val="22"/>
        <w:szCs w:val="22"/>
      </w:rPr>
    </w:lvl>
    <w:lvl w:ilvl="2">
      <w:start w:val="1"/>
      <w:numFmt w:val="decimal"/>
      <w:lvlText w:val="%3."/>
      <w:lvlJc w:val="left"/>
      <w:pPr>
        <w:ind w:left="0" w:firstLine="0"/>
      </w:pPr>
      <w:rPr>
        <w:rFonts w:ascii="Arial" w:hAnsi="Arial" w:cs="Arial"/>
        <w:sz w:val="22"/>
        <w:szCs w:val="22"/>
      </w:rPr>
    </w:lvl>
    <w:lvl w:ilvl="3">
      <w:start w:val="1"/>
      <w:numFmt w:val="decimal"/>
      <w:lvlText w:val="%4."/>
      <w:lvlJc w:val="left"/>
      <w:pPr>
        <w:ind w:left="0" w:firstLine="0"/>
      </w:pPr>
      <w:rPr>
        <w:rFonts w:ascii="Arial" w:hAnsi="Arial" w:cs="Arial"/>
        <w:sz w:val="22"/>
        <w:szCs w:val="22"/>
      </w:rPr>
    </w:lvl>
    <w:lvl w:ilvl="4">
      <w:start w:val="1"/>
      <w:numFmt w:val="decimal"/>
      <w:lvlText w:val="%5."/>
      <w:lvlJc w:val="left"/>
      <w:pPr>
        <w:ind w:left="0" w:firstLine="0"/>
      </w:pPr>
      <w:rPr>
        <w:rFonts w:ascii="Arial" w:hAnsi="Arial" w:cs="Arial"/>
        <w:sz w:val="22"/>
        <w:szCs w:val="22"/>
      </w:rPr>
    </w:lvl>
    <w:lvl w:ilvl="5">
      <w:start w:val="1"/>
      <w:numFmt w:val="decimal"/>
      <w:lvlText w:val="%6."/>
      <w:lvlJc w:val="left"/>
      <w:pPr>
        <w:ind w:left="0" w:firstLine="0"/>
      </w:pPr>
      <w:rPr>
        <w:rFonts w:ascii="Arial" w:hAnsi="Arial" w:cs="Arial"/>
        <w:sz w:val="22"/>
        <w:szCs w:val="22"/>
      </w:rPr>
    </w:lvl>
    <w:lvl w:ilvl="6">
      <w:start w:val="1"/>
      <w:numFmt w:val="decimal"/>
      <w:lvlText w:val="%7."/>
      <w:lvlJc w:val="left"/>
      <w:pPr>
        <w:ind w:left="0" w:firstLine="0"/>
      </w:pPr>
      <w:rPr>
        <w:rFonts w:ascii="Arial" w:hAnsi="Arial" w:cs="Arial"/>
        <w:sz w:val="22"/>
        <w:szCs w:val="22"/>
      </w:rPr>
    </w:lvl>
    <w:lvl w:ilvl="7">
      <w:start w:val="1"/>
      <w:numFmt w:val="decimal"/>
      <w:lvlText w:val="%8."/>
      <w:lvlJc w:val="left"/>
      <w:pPr>
        <w:ind w:left="0" w:firstLine="0"/>
      </w:pPr>
      <w:rPr>
        <w:rFonts w:ascii="Arial" w:hAnsi="Arial" w:cs="Arial"/>
        <w:sz w:val="22"/>
        <w:szCs w:val="22"/>
      </w:rPr>
    </w:lvl>
    <w:lvl w:ilvl="8">
      <w:start w:val="1"/>
      <w:numFmt w:val="decimal"/>
      <w:lvlText w:val="%9."/>
      <w:lvlJc w:val="left"/>
      <w:pPr>
        <w:ind w:left="0" w:firstLine="0"/>
      </w:pPr>
      <w:rPr>
        <w:rFonts w:ascii="Arial" w:hAnsi="Arial" w:cs="Arial"/>
        <w:sz w:val="22"/>
        <w:szCs w:val="22"/>
      </w:rPr>
    </w:lvl>
  </w:abstractNum>
  <w:abstractNum w:abstractNumId="4">
    <w:nsid w:val="4C931EBC"/>
    <w:multiLevelType w:val="multilevel"/>
    <w:tmpl w:val="00000005"/>
    <w:name w:val="List1284710076_1"/>
    <w:lvl w:ilvl="0">
      <w:start w:val="1"/>
      <w:numFmt w:val="decimal"/>
      <w:lvlText w:val="%1."/>
      <w:lvlJc w:val="left"/>
      <w:rPr>
        <w:rFonts w:ascii="Arial" w:hAnsi="Arial" w:cs="Arial"/>
        <w:sz w:val="22"/>
        <w:szCs w:val="22"/>
      </w:rPr>
    </w:lvl>
    <w:lvl w:ilvl="1">
      <w:start w:val="1"/>
      <w:numFmt w:val="decimal"/>
      <w:lvlText w:val="%2."/>
      <w:lvlJc w:val="left"/>
      <w:rPr>
        <w:rFonts w:ascii="Arial" w:hAnsi="Arial" w:cs="Arial"/>
        <w:sz w:val="22"/>
        <w:szCs w:val="22"/>
      </w:rPr>
    </w:lvl>
    <w:lvl w:ilvl="2">
      <w:start w:val="1"/>
      <w:numFmt w:val="decimal"/>
      <w:lvlText w:val="%3."/>
      <w:lvlJc w:val="left"/>
      <w:rPr>
        <w:rFonts w:ascii="Arial" w:hAnsi="Arial" w:cs="Arial"/>
        <w:sz w:val="22"/>
        <w:szCs w:val="22"/>
      </w:rPr>
    </w:lvl>
    <w:lvl w:ilvl="3">
      <w:start w:val="1"/>
      <w:numFmt w:val="decimal"/>
      <w:lvlText w:val="%4."/>
      <w:lvlJc w:val="left"/>
      <w:rPr>
        <w:rFonts w:ascii="Arial" w:hAnsi="Arial" w:cs="Arial"/>
        <w:sz w:val="22"/>
        <w:szCs w:val="22"/>
      </w:rPr>
    </w:lvl>
    <w:lvl w:ilvl="4">
      <w:start w:val="1"/>
      <w:numFmt w:val="decimal"/>
      <w:lvlText w:val="%5."/>
      <w:lvlJc w:val="left"/>
      <w:rPr>
        <w:rFonts w:ascii="Arial" w:hAnsi="Arial" w:cs="Arial"/>
        <w:sz w:val="22"/>
        <w:szCs w:val="22"/>
      </w:rPr>
    </w:lvl>
    <w:lvl w:ilvl="5">
      <w:start w:val="1"/>
      <w:numFmt w:val="decimal"/>
      <w:lvlText w:val="%6."/>
      <w:lvlJc w:val="left"/>
      <w:rPr>
        <w:rFonts w:ascii="Arial" w:hAnsi="Arial" w:cs="Arial"/>
        <w:sz w:val="22"/>
        <w:szCs w:val="22"/>
      </w:rPr>
    </w:lvl>
    <w:lvl w:ilvl="6">
      <w:start w:val="1"/>
      <w:numFmt w:val="decimal"/>
      <w:lvlText w:val="%7."/>
      <w:lvlJc w:val="left"/>
      <w:rPr>
        <w:rFonts w:ascii="Arial" w:hAnsi="Arial" w:cs="Arial"/>
        <w:sz w:val="22"/>
        <w:szCs w:val="22"/>
      </w:rPr>
    </w:lvl>
    <w:lvl w:ilvl="7">
      <w:start w:val="1"/>
      <w:numFmt w:val="decimal"/>
      <w:lvlText w:val="%8."/>
      <w:lvlJc w:val="left"/>
      <w:rPr>
        <w:rFonts w:ascii="Arial" w:hAnsi="Arial" w:cs="Arial"/>
        <w:sz w:val="22"/>
        <w:szCs w:val="22"/>
      </w:rPr>
    </w:lvl>
    <w:lvl w:ilvl="8">
      <w:start w:val="1"/>
      <w:numFmt w:val="decimal"/>
      <w:lvlText w:val="%9."/>
      <w:lvlJc w:val="left"/>
      <w:rPr>
        <w:rFonts w:ascii="Arial" w:hAnsi="Arial" w:cs="Arial"/>
        <w:sz w:val="22"/>
        <w:szCs w:val="22"/>
      </w:rPr>
    </w:lvl>
  </w:abstractNum>
  <w:abstractNum w:abstractNumId="5">
    <w:nsid w:val="586550A8"/>
    <w:multiLevelType w:val="hybridMultilevel"/>
    <w:tmpl w:val="0DB2E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ED60B0C"/>
    <w:multiLevelType w:val="hybridMultilevel"/>
    <w:tmpl w:val="002E2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A272F0"/>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num w:numId="1">
    <w:abstractNumId w:val="5"/>
  </w:num>
  <w:num w:numId="2">
    <w:abstractNumId w:val="7"/>
  </w:num>
  <w:num w:numId="3">
    <w:abstractNumId w:val="1"/>
  </w:num>
  <w:num w:numId="4">
    <w:abstractNumId w:val="3"/>
    <w:lvlOverride w:ilvl="0">
      <w:lvl w:ilvl="0">
        <w:start w:val="1"/>
        <w:numFmt w:val="bullet"/>
        <w:lvlText w:val="-"/>
        <w:lvlJc w:val="left"/>
        <w:pPr>
          <w:ind w:left="0" w:firstLine="0"/>
        </w:pPr>
        <w:rPr>
          <w:rFonts w:ascii="Arial" w:hAnsi="Arial" w:cs="Arial"/>
          <w:sz w:val="22"/>
          <w:szCs w:val="22"/>
        </w:rPr>
      </w:lvl>
    </w:lvlOverride>
    <w:lvlOverride w:ilvl="1">
      <w:lvl w:ilvl="1">
        <w:start w:val="1"/>
        <w:numFmt w:val="decimal"/>
        <w:lvlText w:val="%2."/>
        <w:lvlJc w:val="left"/>
        <w:pPr>
          <w:ind w:left="0" w:firstLine="0"/>
        </w:pPr>
        <w:rPr>
          <w:rFonts w:ascii="Arial" w:hAnsi="Arial" w:cs="Arial"/>
          <w:sz w:val="22"/>
          <w:szCs w:val="22"/>
        </w:rPr>
      </w:lvl>
    </w:lvlOverride>
    <w:lvlOverride w:ilvl="2">
      <w:lvl w:ilvl="2">
        <w:start w:val="1"/>
        <w:numFmt w:val="decimal"/>
        <w:lvlText w:val="%3."/>
        <w:lvlJc w:val="left"/>
        <w:pPr>
          <w:ind w:left="0" w:firstLine="0"/>
        </w:pPr>
        <w:rPr>
          <w:rFonts w:ascii="Arial" w:hAnsi="Arial" w:cs="Arial"/>
          <w:sz w:val="22"/>
          <w:szCs w:val="22"/>
        </w:rPr>
      </w:lvl>
    </w:lvlOverride>
    <w:lvlOverride w:ilvl="3">
      <w:lvl w:ilvl="3">
        <w:start w:val="1"/>
        <w:numFmt w:val="decimal"/>
        <w:lvlText w:val="%4."/>
        <w:lvlJc w:val="left"/>
        <w:pPr>
          <w:ind w:left="0" w:firstLine="0"/>
        </w:pPr>
        <w:rPr>
          <w:rFonts w:ascii="Arial" w:hAnsi="Arial" w:cs="Arial"/>
          <w:sz w:val="22"/>
          <w:szCs w:val="22"/>
        </w:rPr>
      </w:lvl>
    </w:lvlOverride>
    <w:lvlOverride w:ilvl="4">
      <w:lvl w:ilvl="4">
        <w:start w:val="1"/>
        <w:numFmt w:val="decimal"/>
        <w:lvlText w:val="%5."/>
        <w:lvlJc w:val="left"/>
        <w:pPr>
          <w:ind w:left="0" w:firstLine="0"/>
        </w:pPr>
        <w:rPr>
          <w:rFonts w:ascii="Arial" w:hAnsi="Arial" w:cs="Arial"/>
          <w:sz w:val="22"/>
          <w:szCs w:val="22"/>
        </w:rPr>
      </w:lvl>
    </w:lvlOverride>
    <w:lvlOverride w:ilvl="5">
      <w:lvl w:ilvl="5">
        <w:start w:val="1"/>
        <w:numFmt w:val="decimal"/>
        <w:lvlText w:val="%6."/>
        <w:lvlJc w:val="left"/>
        <w:pPr>
          <w:ind w:left="0" w:firstLine="0"/>
        </w:pPr>
        <w:rPr>
          <w:rFonts w:ascii="Arial" w:hAnsi="Arial" w:cs="Arial"/>
          <w:sz w:val="22"/>
          <w:szCs w:val="22"/>
        </w:rPr>
      </w:lvl>
    </w:lvlOverride>
    <w:lvlOverride w:ilvl="6">
      <w:lvl w:ilvl="6">
        <w:start w:val="1"/>
        <w:numFmt w:val="decimal"/>
        <w:lvlText w:val="%7."/>
        <w:lvlJc w:val="left"/>
        <w:pPr>
          <w:ind w:left="0" w:firstLine="0"/>
        </w:pPr>
        <w:rPr>
          <w:rFonts w:ascii="Arial" w:hAnsi="Arial" w:cs="Arial"/>
          <w:sz w:val="22"/>
          <w:szCs w:val="22"/>
        </w:rPr>
      </w:lvl>
    </w:lvlOverride>
    <w:lvlOverride w:ilvl="7">
      <w:lvl w:ilvl="7">
        <w:start w:val="1"/>
        <w:numFmt w:val="decimal"/>
        <w:lvlText w:val="%8."/>
        <w:lvlJc w:val="left"/>
        <w:pPr>
          <w:ind w:left="0" w:firstLine="0"/>
        </w:pPr>
        <w:rPr>
          <w:rFonts w:ascii="Arial" w:hAnsi="Arial" w:cs="Arial"/>
          <w:sz w:val="22"/>
          <w:szCs w:val="22"/>
        </w:rPr>
      </w:lvl>
    </w:lvlOverride>
    <w:lvlOverride w:ilvl="8">
      <w:lvl w:ilvl="8">
        <w:start w:val="1"/>
        <w:numFmt w:val="decimal"/>
        <w:lvlText w:val="%9."/>
        <w:lvlJc w:val="left"/>
        <w:pPr>
          <w:ind w:left="0" w:firstLine="0"/>
        </w:pPr>
        <w:rPr>
          <w:rFonts w:ascii="Arial" w:hAnsi="Arial" w:cs="Arial"/>
          <w:sz w:val="22"/>
          <w:szCs w:val="22"/>
        </w:rPr>
      </w:lvl>
    </w:lvlOverride>
  </w:num>
  <w:num w:numId="5">
    <w:abstractNumId w:val="0"/>
  </w:num>
  <w:num w:numId="6">
    <w:abstractNumId w:val="2"/>
  </w:num>
  <w:num w:numId="7">
    <w:abstractNumId w:val="4"/>
    <w:lvlOverride w:ilvl="0">
      <w:startOverride w:val="1"/>
      <w:lvl w:ilvl="0">
        <w:start w:val="1"/>
        <w:numFmt w:val="bullet"/>
        <w:lvlText w:val="-"/>
        <w:lvlJc w:val="left"/>
        <w:rPr>
          <w:rFonts w:ascii="Arial" w:hAnsi="Arial" w:cs="Arial"/>
          <w:sz w:val="22"/>
          <w:szCs w:val="22"/>
        </w:rPr>
      </w:lvl>
    </w:lvlOverride>
    <w:lvlOverride w:ilvl="1">
      <w:startOverride w:val="1"/>
      <w:lvl w:ilvl="1">
        <w:start w:val="1"/>
        <w:numFmt w:val="decimal"/>
        <w:lvlText w:val="%2."/>
        <w:lvlJc w:val="left"/>
        <w:rPr>
          <w:rFonts w:ascii="Arial" w:hAnsi="Arial" w:cs="Arial"/>
          <w:sz w:val="22"/>
          <w:szCs w:val="22"/>
        </w:rPr>
      </w:lvl>
    </w:lvlOverride>
    <w:lvlOverride w:ilvl="2">
      <w:startOverride w:val="1"/>
      <w:lvl w:ilvl="2">
        <w:start w:val="1"/>
        <w:numFmt w:val="decimal"/>
        <w:lvlText w:val="%3."/>
        <w:lvlJc w:val="left"/>
        <w:rPr>
          <w:rFonts w:ascii="Arial" w:hAnsi="Arial" w:cs="Arial"/>
          <w:sz w:val="22"/>
          <w:szCs w:val="22"/>
        </w:rPr>
      </w:lvl>
    </w:lvlOverride>
    <w:lvlOverride w:ilvl="3">
      <w:startOverride w:val="1"/>
      <w:lvl w:ilvl="3">
        <w:start w:val="1"/>
        <w:numFmt w:val="decimal"/>
        <w:lvlText w:val="%4."/>
        <w:lvlJc w:val="left"/>
        <w:rPr>
          <w:rFonts w:ascii="Arial" w:hAnsi="Arial" w:cs="Arial"/>
          <w:sz w:val="22"/>
          <w:szCs w:val="22"/>
        </w:rPr>
      </w:lvl>
    </w:lvlOverride>
    <w:lvlOverride w:ilvl="4">
      <w:startOverride w:val="1"/>
      <w:lvl w:ilvl="4">
        <w:start w:val="1"/>
        <w:numFmt w:val="decimal"/>
        <w:lvlText w:val="%5."/>
        <w:lvlJc w:val="left"/>
        <w:rPr>
          <w:rFonts w:ascii="Arial" w:hAnsi="Arial" w:cs="Arial"/>
          <w:sz w:val="22"/>
          <w:szCs w:val="22"/>
        </w:rPr>
      </w:lvl>
    </w:lvlOverride>
    <w:lvlOverride w:ilvl="5">
      <w:startOverride w:val="1"/>
      <w:lvl w:ilvl="5">
        <w:start w:val="1"/>
        <w:numFmt w:val="decimal"/>
        <w:lvlText w:val="%6."/>
        <w:lvlJc w:val="left"/>
        <w:rPr>
          <w:rFonts w:ascii="Arial" w:hAnsi="Arial" w:cs="Arial"/>
          <w:sz w:val="22"/>
          <w:szCs w:val="22"/>
        </w:rPr>
      </w:lvl>
    </w:lvlOverride>
    <w:lvlOverride w:ilvl="6">
      <w:startOverride w:val="1"/>
      <w:lvl w:ilvl="6">
        <w:start w:val="1"/>
        <w:numFmt w:val="decimal"/>
        <w:lvlText w:val="%7."/>
        <w:lvlJc w:val="left"/>
        <w:rPr>
          <w:rFonts w:ascii="Arial" w:hAnsi="Arial" w:cs="Arial"/>
          <w:sz w:val="22"/>
          <w:szCs w:val="22"/>
        </w:rPr>
      </w:lvl>
    </w:lvlOverride>
    <w:lvlOverride w:ilvl="7">
      <w:startOverride w:val="1"/>
      <w:lvl w:ilvl="7">
        <w:start w:val="1"/>
        <w:numFmt w:val="decimal"/>
        <w:lvlText w:val="%8."/>
        <w:lvlJc w:val="left"/>
        <w:rPr>
          <w:rFonts w:ascii="Arial" w:hAnsi="Arial" w:cs="Arial"/>
          <w:sz w:val="22"/>
          <w:szCs w:val="22"/>
        </w:rPr>
      </w:lvl>
    </w:lvlOverride>
    <w:lvlOverride w:ilvl="8">
      <w:startOverride w:val="1"/>
      <w:lvl w:ilvl="8">
        <w:start w:val="1"/>
        <w:numFmt w:val="decimal"/>
        <w:lvlText w:val="%9."/>
        <w:lvlJc w:val="left"/>
        <w:rPr>
          <w:rFonts w:ascii="Arial" w:hAnsi="Arial" w:cs="Arial"/>
          <w:sz w:val="22"/>
          <w:szCs w:val="22"/>
        </w:rPr>
      </w:lvl>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252"/>
    <w:rsid w:val="00006D5C"/>
    <w:rsid w:val="00040E4A"/>
    <w:rsid w:val="00067072"/>
    <w:rsid w:val="000718AD"/>
    <w:rsid w:val="000770FA"/>
    <w:rsid w:val="00081CA5"/>
    <w:rsid w:val="0008793D"/>
    <w:rsid w:val="000C4C02"/>
    <w:rsid w:val="000C758C"/>
    <w:rsid w:val="00101CFF"/>
    <w:rsid w:val="00123B96"/>
    <w:rsid w:val="0014029B"/>
    <w:rsid w:val="00153724"/>
    <w:rsid w:val="00175E62"/>
    <w:rsid w:val="00180DBA"/>
    <w:rsid w:val="0018403E"/>
    <w:rsid w:val="001B3E3C"/>
    <w:rsid w:val="001B6CAD"/>
    <w:rsid w:val="001D6488"/>
    <w:rsid w:val="001F6D51"/>
    <w:rsid w:val="00204523"/>
    <w:rsid w:val="00204688"/>
    <w:rsid w:val="0022140F"/>
    <w:rsid w:val="00235572"/>
    <w:rsid w:val="00263F96"/>
    <w:rsid w:val="00270426"/>
    <w:rsid w:val="00295045"/>
    <w:rsid w:val="002C7398"/>
    <w:rsid w:val="002F73BE"/>
    <w:rsid w:val="0031385E"/>
    <w:rsid w:val="00385A05"/>
    <w:rsid w:val="00395ED2"/>
    <w:rsid w:val="003B7BC0"/>
    <w:rsid w:val="003D77AD"/>
    <w:rsid w:val="003E495B"/>
    <w:rsid w:val="00402C25"/>
    <w:rsid w:val="00461637"/>
    <w:rsid w:val="00486380"/>
    <w:rsid w:val="004A4AAF"/>
    <w:rsid w:val="004A6633"/>
    <w:rsid w:val="004B2D46"/>
    <w:rsid w:val="004C2339"/>
    <w:rsid w:val="004F533A"/>
    <w:rsid w:val="00510CA0"/>
    <w:rsid w:val="00525553"/>
    <w:rsid w:val="00540F3B"/>
    <w:rsid w:val="00550C3A"/>
    <w:rsid w:val="00561564"/>
    <w:rsid w:val="0056638C"/>
    <w:rsid w:val="005A5B33"/>
    <w:rsid w:val="005B4629"/>
    <w:rsid w:val="005B6DDB"/>
    <w:rsid w:val="005F4FC3"/>
    <w:rsid w:val="006659CD"/>
    <w:rsid w:val="006661C9"/>
    <w:rsid w:val="00667A08"/>
    <w:rsid w:val="00697231"/>
    <w:rsid w:val="006C240F"/>
    <w:rsid w:val="006C3525"/>
    <w:rsid w:val="006D070C"/>
    <w:rsid w:val="006F2A2A"/>
    <w:rsid w:val="006F468C"/>
    <w:rsid w:val="00731AE6"/>
    <w:rsid w:val="0073453B"/>
    <w:rsid w:val="00737379"/>
    <w:rsid w:val="007530D5"/>
    <w:rsid w:val="00764A4B"/>
    <w:rsid w:val="0076704A"/>
    <w:rsid w:val="00776F2C"/>
    <w:rsid w:val="0078671B"/>
    <w:rsid w:val="00787CD5"/>
    <w:rsid w:val="00797F0D"/>
    <w:rsid w:val="007A64E3"/>
    <w:rsid w:val="007A686C"/>
    <w:rsid w:val="007A6CA5"/>
    <w:rsid w:val="007B6F94"/>
    <w:rsid w:val="007C19A5"/>
    <w:rsid w:val="007C3458"/>
    <w:rsid w:val="00810C03"/>
    <w:rsid w:val="0081621E"/>
    <w:rsid w:val="00845661"/>
    <w:rsid w:val="008619BF"/>
    <w:rsid w:val="00870D99"/>
    <w:rsid w:val="008859D5"/>
    <w:rsid w:val="00903C82"/>
    <w:rsid w:val="00910366"/>
    <w:rsid w:val="00913DB6"/>
    <w:rsid w:val="00943E91"/>
    <w:rsid w:val="009C5CDC"/>
    <w:rsid w:val="00A21A5E"/>
    <w:rsid w:val="00A6030F"/>
    <w:rsid w:val="00AA0C18"/>
    <w:rsid w:val="00B150C8"/>
    <w:rsid w:val="00B218EB"/>
    <w:rsid w:val="00B254BC"/>
    <w:rsid w:val="00B64116"/>
    <w:rsid w:val="00B669B0"/>
    <w:rsid w:val="00BB7EEE"/>
    <w:rsid w:val="00BC7509"/>
    <w:rsid w:val="00BE3252"/>
    <w:rsid w:val="00C33A23"/>
    <w:rsid w:val="00C63524"/>
    <w:rsid w:val="00C6663E"/>
    <w:rsid w:val="00C94C80"/>
    <w:rsid w:val="00CB0AB1"/>
    <w:rsid w:val="00CB173F"/>
    <w:rsid w:val="00CC1F21"/>
    <w:rsid w:val="00CD76AE"/>
    <w:rsid w:val="00CF765E"/>
    <w:rsid w:val="00D02569"/>
    <w:rsid w:val="00D02984"/>
    <w:rsid w:val="00D419CC"/>
    <w:rsid w:val="00D57124"/>
    <w:rsid w:val="00D7481A"/>
    <w:rsid w:val="00DC18D1"/>
    <w:rsid w:val="00DC551C"/>
    <w:rsid w:val="00DC5AF4"/>
    <w:rsid w:val="00E33893"/>
    <w:rsid w:val="00E6238A"/>
    <w:rsid w:val="00E71BB3"/>
    <w:rsid w:val="00E85875"/>
    <w:rsid w:val="00E86B50"/>
    <w:rsid w:val="00E94BB8"/>
    <w:rsid w:val="00EC7606"/>
    <w:rsid w:val="00EE7C44"/>
    <w:rsid w:val="00F13199"/>
    <w:rsid w:val="00F43E92"/>
    <w:rsid w:val="00F5060E"/>
    <w:rsid w:val="00F57017"/>
    <w:rsid w:val="00F66381"/>
    <w:rsid w:val="00FA0D22"/>
    <w:rsid w:val="00FF5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395ED2"/>
    <w:rPr>
      <w:rFonts w:ascii="Times New Roman" w:hAnsi="Times New Roman" w:cs="Times New Roman" w:hint="default"/>
      <w:b w:val="0"/>
      <w:bCs w:val="0"/>
      <w:i w:val="0"/>
      <w:iCs w:val="0"/>
      <w:color w:val="000000"/>
    </w:rPr>
  </w:style>
  <w:style w:type="paragraph" w:styleId="a7">
    <w:name w:val="Subtitle"/>
    <w:basedOn w:val="a"/>
    <w:link w:val="a8"/>
    <w:qFormat/>
    <w:rsid w:val="00235572"/>
    <w:pPr>
      <w:jc w:val="center"/>
    </w:pPr>
    <w:rPr>
      <w:rFonts w:ascii="Times New Roman CYR" w:hAnsi="Times New Roman CYR"/>
      <w:b/>
      <w:caps/>
      <w:szCs w:val="20"/>
    </w:rPr>
  </w:style>
  <w:style w:type="character" w:customStyle="1" w:styleId="a8">
    <w:name w:val="Подзаголовок Знак"/>
    <w:basedOn w:val="a0"/>
    <w:link w:val="a7"/>
    <w:rsid w:val="00235572"/>
    <w:rPr>
      <w:rFonts w:ascii="Times New Roman CYR" w:eastAsia="Times New Roman" w:hAnsi="Times New Roman CYR" w:cs="Times New Roman"/>
      <w:b/>
      <w:cap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395ED2"/>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656227315">
      <w:bodyDiv w:val="1"/>
      <w:marLeft w:val="0"/>
      <w:marRight w:val="0"/>
      <w:marTop w:val="0"/>
      <w:marBottom w:val="0"/>
      <w:divBdr>
        <w:top w:val="none" w:sz="0" w:space="0" w:color="auto"/>
        <w:left w:val="none" w:sz="0" w:space="0" w:color="auto"/>
        <w:bottom w:val="none" w:sz="0" w:space="0" w:color="auto"/>
        <w:right w:val="none" w:sz="0" w:space="0" w:color="auto"/>
      </w:divBdr>
    </w:div>
    <w:div w:id="1656757216">
      <w:bodyDiv w:val="1"/>
      <w:marLeft w:val="0"/>
      <w:marRight w:val="0"/>
      <w:marTop w:val="0"/>
      <w:marBottom w:val="0"/>
      <w:divBdr>
        <w:top w:val="none" w:sz="0" w:space="0" w:color="auto"/>
        <w:left w:val="none" w:sz="0" w:space="0" w:color="auto"/>
        <w:bottom w:val="none" w:sz="0" w:space="0" w:color="auto"/>
        <w:right w:val="none" w:sz="0" w:space="0" w:color="auto"/>
      </w:divBdr>
    </w:div>
    <w:div w:id="181949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BF8C1-C679-49DE-93A5-4E258EBCE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1588</Words>
  <Characters>9057</Characters>
  <Application>Microsoft Office Word</Application>
  <DocSecurity>0</DocSecurity>
  <Lines>75</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10624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User</cp:lastModifiedBy>
  <cp:revision>21</cp:revision>
  <cp:lastPrinted>2020-04-28T08:16:00Z</cp:lastPrinted>
  <dcterms:created xsi:type="dcterms:W3CDTF">2020-05-13T08:45:00Z</dcterms:created>
  <dcterms:modified xsi:type="dcterms:W3CDTF">2020-06-19T04:10:00Z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-86327072</vt:i4>
  </property>
  <property fmtid="{D5CDD505-2E9C-101B-9397-08002B2CF9AE}" pid="4" name="_EmailSubject">
    <vt:lpwstr>Магнитно-резонансный томограф MAGVUE ELITE 1,5T</vt:lpwstr>
  </property>
  <property fmtid="{D5CDD505-2E9C-101B-9397-08002B2CF9AE}" pid="5" name="_AuthorEmail">
    <vt:lpwstr>konstantin.ossintsev@siemens.com</vt:lpwstr>
  </property>
  <property fmtid="{D5CDD505-2E9C-101B-9397-08002B2CF9AE}" pid="6" name="_AuthorEmailDisplayName">
    <vt:lpwstr>Ossintsev, Konstantin</vt:lpwstr>
  </property>
  <property fmtid="{D5CDD505-2E9C-101B-9397-08002B2CF9AE}" pid="7" name="_ReviewingToolsShownOnce">
    <vt:lpwstr/>
  </property>
</Properties>
</file>